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1E0" w:rsidRPr="00540996" w:rsidRDefault="00F021E0" w:rsidP="00F021E0">
      <w:pPr>
        <w:rPr>
          <w:rFonts w:ascii="Verdana" w:hAnsi="Verdana"/>
          <w:b/>
          <w:sz w:val="20"/>
          <w:szCs w:val="20"/>
          <w:lang w:val="tr-TR"/>
        </w:rPr>
      </w:pPr>
    </w:p>
    <w:p w:rsidR="00F021E0" w:rsidRPr="00540996" w:rsidRDefault="00F021E0" w:rsidP="00F021E0">
      <w:pPr>
        <w:rPr>
          <w:rFonts w:ascii="Verdana" w:hAnsi="Verdana"/>
          <w:b/>
          <w:sz w:val="20"/>
          <w:szCs w:val="20"/>
          <w:lang w:val="tr-TR"/>
        </w:rPr>
      </w:pPr>
    </w:p>
    <w:p w:rsidR="00FB5AB3" w:rsidRPr="00540996" w:rsidRDefault="00FB5AB3" w:rsidP="00F02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0"/>
          <w:szCs w:val="20"/>
          <w:lang w:val="tr-TR"/>
        </w:rPr>
      </w:pPr>
      <w:r w:rsidRPr="00540996">
        <w:rPr>
          <w:rFonts w:ascii="Verdana" w:hAnsi="Verdana"/>
          <w:b/>
          <w:sz w:val="20"/>
          <w:szCs w:val="20"/>
          <w:lang w:val="tr-TR"/>
        </w:rPr>
        <w:t>DÜNYA</w:t>
      </w:r>
      <w:r w:rsidR="00E636F7" w:rsidRPr="00540996">
        <w:rPr>
          <w:rFonts w:ascii="Verdana" w:hAnsi="Verdana"/>
          <w:b/>
          <w:sz w:val="20"/>
          <w:szCs w:val="20"/>
          <w:lang w:val="tr-TR"/>
        </w:rPr>
        <w:t xml:space="preserve"> SİGORTA PİYASASI</w:t>
      </w:r>
    </w:p>
    <w:p w:rsidR="00FB5AB3" w:rsidRPr="00540996" w:rsidRDefault="00FB5AB3" w:rsidP="00F021E0">
      <w:pPr>
        <w:rPr>
          <w:rFonts w:ascii="Verdana" w:hAnsi="Verdana"/>
          <w:b/>
          <w:sz w:val="20"/>
          <w:szCs w:val="20"/>
          <w:lang w:val="tr-TR"/>
        </w:rPr>
      </w:pPr>
    </w:p>
    <w:p w:rsidR="00DC6DE6" w:rsidRPr="00C72D88" w:rsidRDefault="001B360D" w:rsidP="00C72D88">
      <w:pPr>
        <w:numPr>
          <w:ilvl w:val="0"/>
          <w:numId w:val="4"/>
        </w:numPr>
        <w:rPr>
          <w:rFonts w:ascii="Verdana" w:hAnsi="Verdana"/>
          <w:sz w:val="20"/>
          <w:szCs w:val="20"/>
          <w:lang w:val="tr-TR"/>
        </w:rPr>
      </w:pPr>
      <w:r w:rsidRPr="00540996">
        <w:rPr>
          <w:rFonts w:ascii="Verdana" w:hAnsi="Verdana"/>
          <w:sz w:val="20"/>
          <w:szCs w:val="20"/>
          <w:lang w:val="tr-TR"/>
        </w:rPr>
        <w:t xml:space="preserve">2008 yılı ikinci yarısında başlayan global </w:t>
      </w:r>
      <w:r w:rsidR="00DC6DE6" w:rsidRPr="00540996">
        <w:rPr>
          <w:rFonts w:ascii="Verdana" w:hAnsi="Verdana"/>
          <w:sz w:val="20"/>
          <w:szCs w:val="20"/>
          <w:lang w:val="tr-TR"/>
        </w:rPr>
        <w:t>ekonomik kriz, bir</w:t>
      </w:r>
      <w:r w:rsidR="00FB5AB3" w:rsidRPr="00540996">
        <w:rPr>
          <w:rFonts w:ascii="Verdana" w:hAnsi="Verdana"/>
          <w:sz w:val="20"/>
          <w:szCs w:val="20"/>
          <w:lang w:val="tr-TR"/>
        </w:rPr>
        <w:t xml:space="preserve">çok ülkede ciddi tahribata yol açmış ve bundan sigorta piyasaları da etkilenmiştir. </w:t>
      </w:r>
      <w:r w:rsidRPr="00540996">
        <w:rPr>
          <w:rFonts w:ascii="Verdana" w:hAnsi="Verdana"/>
          <w:sz w:val="20"/>
          <w:szCs w:val="20"/>
          <w:lang w:val="tr-TR"/>
        </w:rPr>
        <w:t>Kriz nedeniyle ettikleri zararlar sigorta şirketlerinin özkaynaklarının önemli ölçüde erimesine yol açmıştır. Hisse senedi piyasalarındaki g</w:t>
      </w:r>
      <w:r w:rsidR="00FB5AB3" w:rsidRPr="00540996">
        <w:rPr>
          <w:rFonts w:ascii="Verdana" w:hAnsi="Verdana"/>
          <w:sz w:val="20"/>
          <w:szCs w:val="20"/>
          <w:lang w:val="tr-TR"/>
        </w:rPr>
        <w:t xml:space="preserve">lobal türbülans, </w:t>
      </w:r>
      <w:r w:rsidR="007F7DCA" w:rsidRPr="00540996">
        <w:rPr>
          <w:rFonts w:ascii="Verdana" w:hAnsi="Verdana"/>
          <w:sz w:val="20"/>
          <w:szCs w:val="20"/>
          <w:lang w:val="tr-TR"/>
        </w:rPr>
        <w:t>sigorta</w:t>
      </w:r>
      <w:r w:rsidR="0020267E" w:rsidRPr="00540996">
        <w:rPr>
          <w:rFonts w:ascii="Verdana" w:hAnsi="Verdana"/>
          <w:sz w:val="20"/>
          <w:szCs w:val="20"/>
          <w:lang w:val="tr-TR"/>
        </w:rPr>
        <w:t xml:space="preserve"> sektöründe, bazı dünya devler</w:t>
      </w:r>
      <w:r w:rsidR="00825F01" w:rsidRPr="00540996">
        <w:rPr>
          <w:rFonts w:ascii="Verdana" w:hAnsi="Verdana"/>
          <w:sz w:val="20"/>
          <w:szCs w:val="20"/>
          <w:lang w:val="tr-TR"/>
        </w:rPr>
        <w:t>i</w:t>
      </w:r>
      <w:r w:rsidR="00FB5AB3" w:rsidRPr="00540996">
        <w:rPr>
          <w:rFonts w:ascii="Verdana" w:hAnsi="Verdana"/>
          <w:sz w:val="20"/>
          <w:szCs w:val="20"/>
          <w:lang w:val="tr-TR"/>
        </w:rPr>
        <w:t xml:space="preserve"> de dahil olmak üzere </w:t>
      </w:r>
      <w:r w:rsidRPr="00540996">
        <w:rPr>
          <w:rFonts w:ascii="Verdana" w:hAnsi="Verdana"/>
          <w:sz w:val="20"/>
          <w:szCs w:val="20"/>
          <w:lang w:val="tr-TR"/>
        </w:rPr>
        <w:t xml:space="preserve">şirketlerin </w:t>
      </w:r>
      <w:r w:rsidR="00DC6DE6" w:rsidRPr="00540996">
        <w:rPr>
          <w:rFonts w:ascii="Verdana" w:hAnsi="Verdana"/>
          <w:sz w:val="20"/>
          <w:szCs w:val="20"/>
          <w:lang w:val="tr-TR"/>
        </w:rPr>
        <w:t xml:space="preserve">piyasa değerlerinde </w:t>
      </w:r>
      <w:r w:rsidRPr="00540996">
        <w:rPr>
          <w:rFonts w:ascii="Verdana" w:hAnsi="Verdana"/>
          <w:sz w:val="20"/>
          <w:szCs w:val="20"/>
          <w:lang w:val="tr-TR"/>
        </w:rPr>
        <w:t>büyük ölçekli</w:t>
      </w:r>
      <w:r w:rsidR="00825F01" w:rsidRPr="00540996">
        <w:rPr>
          <w:rFonts w:ascii="Verdana" w:hAnsi="Verdana"/>
          <w:sz w:val="20"/>
          <w:szCs w:val="20"/>
          <w:lang w:val="tr-TR"/>
        </w:rPr>
        <w:t xml:space="preserve"> düşüş</w:t>
      </w:r>
      <w:r w:rsidRPr="00540996">
        <w:rPr>
          <w:rFonts w:ascii="Verdana" w:hAnsi="Verdana"/>
          <w:sz w:val="20"/>
          <w:szCs w:val="20"/>
          <w:lang w:val="tr-TR"/>
        </w:rPr>
        <w:t>ler</w:t>
      </w:r>
      <w:r w:rsidR="00825F01" w:rsidRPr="00540996">
        <w:rPr>
          <w:rFonts w:ascii="Verdana" w:hAnsi="Verdana"/>
          <w:sz w:val="20"/>
          <w:szCs w:val="20"/>
          <w:lang w:val="tr-TR"/>
        </w:rPr>
        <w:t xml:space="preserve">e sebep </w:t>
      </w:r>
      <w:r w:rsidRPr="00540996">
        <w:rPr>
          <w:rFonts w:ascii="Verdana" w:hAnsi="Verdana"/>
          <w:sz w:val="20"/>
          <w:szCs w:val="20"/>
          <w:lang w:val="tr-TR"/>
        </w:rPr>
        <w:t>olmuştur.</w:t>
      </w:r>
    </w:p>
    <w:p w:rsidR="00DC6DE6" w:rsidRPr="00540996" w:rsidRDefault="00DC6DE6" w:rsidP="003B33A2">
      <w:pPr>
        <w:jc w:val="center"/>
        <w:rPr>
          <w:rFonts w:ascii="Verdana" w:hAnsi="Verdana"/>
          <w:sz w:val="20"/>
          <w:szCs w:val="20"/>
          <w:lang w:val="tr-TR"/>
        </w:rPr>
      </w:pPr>
    </w:p>
    <w:p w:rsidR="00DC6DE6" w:rsidRPr="00540996" w:rsidRDefault="00DC6DE6" w:rsidP="003B33A2">
      <w:pPr>
        <w:rPr>
          <w:rFonts w:ascii="Verdana" w:hAnsi="Verdana"/>
          <w:sz w:val="20"/>
          <w:szCs w:val="20"/>
          <w:lang w:val="tr-TR"/>
        </w:rPr>
      </w:pPr>
    </w:p>
    <w:p w:rsidR="003B33A2" w:rsidRPr="00540996" w:rsidRDefault="003B33A2" w:rsidP="003B33A2">
      <w:pPr>
        <w:numPr>
          <w:ilvl w:val="0"/>
          <w:numId w:val="4"/>
        </w:numPr>
        <w:rPr>
          <w:rFonts w:ascii="Verdana" w:hAnsi="Verdana"/>
          <w:sz w:val="20"/>
          <w:szCs w:val="20"/>
          <w:lang w:val="tr-TR"/>
        </w:rPr>
      </w:pPr>
      <w:r w:rsidRPr="00540996">
        <w:rPr>
          <w:rFonts w:ascii="Verdana" w:hAnsi="Verdana"/>
          <w:sz w:val="20"/>
          <w:szCs w:val="20"/>
          <w:lang w:val="tr-TR"/>
        </w:rPr>
        <w:t>Bu süreçte</w:t>
      </w:r>
      <w:r w:rsidR="00904A75" w:rsidRPr="00540996">
        <w:rPr>
          <w:rFonts w:ascii="Verdana" w:hAnsi="Verdana"/>
          <w:sz w:val="20"/>
          <w:szCs w:val="20"/>
          <w:lang w:val="tr-TR"/>
        </w:rPr>
        <w:t xml:space="preserve"> gelişmiş ülkelerdeki sigorta</w:t>
      </w:r>
      <w:r w:rsidRPr="00540996">
        <w:rPr>
          <w:rFonts w:ascii="Verdana" w:hAnsi="Verdana"/>
          <w:sz w:val="20"/>
          <w:szCs w:val="20"/>
          <w:lang w:val="tr-TR"/>
        </w:rPr>
        <w:t xml:space="preserve"> prim</w:t>
      </w:r>
      <w:r w:rsidR="00904A75" w:rsidRPr="00540996">
        <w:rPr>
          <w:rFonts w:ascii="Verdana" w:hAnsi="Verdana"/>
          <w:sz w:val="20"/>
          <w:szCs w:val="20"/>
          <w:lang w:val="tr-TR"/>
        </w:rPr>
        <w:t xml:space="preserve"> hacim</w:t>
      </w:r>
      <w:r w:rsidRPr="00540996">
        <w:rPr>
          <w:rFonts w:ascii="Verdana" w:hAnsi="Verdana"/>
          <w:sz w:val="20"/>
          <w:szCs w:val="20"/>
          <w:lang w:val="tr-TR"/>
        </w:rPr>
        <w:t xml:space="preserve">leri küçülmüş, küresel piyasadaki daralma tetiklenmiştir. </w:t>
      </w:r>
      <w:r w:rsidR="002C29B7" w:rsidRPr="00540996">
        <w:rPr>
          <w:rFonts w:ascii="Verdana" w:hAnsi="Verdana"/>
          <w:sz w:val="20"/>
          <w:szCs w:val="20"/>
          <w:lang w:val="tr-TR"/>
        </w:rPr>
        <w:t>Türkiye dahil g</w:t>
      </w:r>
      <w:r w:rsidRPr="00540996">
        <w:rPr>
          <w:rFonts w:ascii="Verdana" w:hAnsi="Verdana"/>
          <w:sz w:val="20"/>
          <w:szCs w:val="20"/>
          <w:lang w:val="tr-TR"/>
        </w:rPr>
        <w:t>elişmekte olan piyasalar</w:t>
      </w:r>
      <w:r w:rsidR="004248DC" w:rsidRPr="00540996">
        <w:rPr>
          <w:rFonts w:ascii="Verdana" w:hAnsi="Verdana"/>
          <w:sz w:val="20"/>
          <w:szCs w:val="20"/>
          <w:lang w:val="tr-TR"/>
        </w:rPr>
        <w:t>da</w:t>
      </w:r>
      <w:r w:rsidRPr="00540996">
        <w:rPr>
          <w:rFonts w:ascii="Verdana" w:hAnsi="Verdana"/>
          <w:sz w:val="20"/>
          <w:szCs w:val="20"/>
          <w:lang w:val="tr-TR"/>
        </w:rPr>
        <w:t xml:space="preserve"> ise büyüme trendi devam etmiştir.</w:t>
      </w:r>
    </w:p>
    <w:p w:rsidR="003B33A2" w:rsidRPr="00540996" w:rsidRDefault="003B33A2" w:rsidP="003B33A2">
      <w:pPr>
        <w:rPr>
          <w:rFonts w:ascii="Verdana" w:hAnsi="Verdana"/>
          <w:sz w:val="20"/>
          <w:szCs w:val="20"/>
          <w:lang w:val="tr-TR"/>
        </w:rPr>
      </w:pPr>
    </w:p>
    <w:p w:rsidR="00DC6DE6" w:rsidRPr="00540996" w:rsidRDefault="00D67151" w:rsidP="00DC6DE6">
      <w:pPr>
        <w:rPr>
          <w:rFonts w:ascii="Verdana" w:hAnsi="Verdana"/>
          <w:sz w:val="20"/>
          <w:szCs w:val="20"/>
          <w:lang w:val="tr-TR"/>
        </w:rPr>
      </w:pPr>
      <w:r>
        <w:rPr>
          <w:rFonts w:ascii="Verdana" w:hAnsi="Verdana"/>
          <w:noProof/>
          <w:sz w:val="20"/>
          <w:szCs w:val="20"/>
          <w:lang w:val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style="position:absolute;margin-left:59.55pt;margin-top:2.5pt;width:336.65pt;height:87.05pt;z-index:251651584" fillcolor="#0c9">
            <v:imagedata r:id="rId8" o:title="" embosscolor="shadow add(51)"/>
            <v:shadow type="emboss" color="lineOrFill darken(153)" color2="shadow add(102)" offset="1pt,1pt"/>
          </v:shape>
          <o:OLEObject Type="Embed" ProgID="Excel.Sheet.8" ShapeID="_x0000_s1054" DrawAspect="Content" ObjectID="_1347257003" r:id="rId9"/>
        </w:pict>
      </w:r>
    </w:p>
    <w:p w:rsidR="00DC6DE6" w:rsidRPr="00540996" w:rsidRDefault="00DC6DE6" w:rsidP="00DC6DE6">
      <w:pPr>
        <w:rPr>
          <w:rFonts w:ascii="Verdana" w:hAnsi="Verdana"/>
          <w:sz w:val="20"/>
          <w:szCs w:val="20"/>
          <w:lang w:val="tr-TR"/>
        </w:rPr>
      </w:pPr>
    </w:p>
    <w:p w:rsidR="00DC6DE6" w:rsidRPr="00540996" w:rsidRDefault="00DC6DE6" w:rsidP="00DC6DE6">
      <w:pPr>
        <w:rPr>
          <w:rFonts w:ascii="Verdana" w:hAnsi="Verdana"/>
          <w:sz w:val="20"/>
          <w:szCs w:val="20"/>
          <w:lang w:val="tr-TR"/>
        </w:rPr>
      </w:pPr>
    </w:p>
    <w:p w:rsidR="00DC6DE6" w:rsidRPr="00540996" w:rsidRDefault="00DC6DE6" w:rsidP="00DC6DE6">
      <w:pPr>
        <w:rPr>
          <w:rFonts w:ascii="Verdana" w:hAnsi="Verdana"/>
          <w:sz w:val="20"/>
          <w:szCs w:val="20"/>
          <w:lang w:val="tr-TR"/>
        </w:rPr>
      </w:pPr>
    </w:p>
    <w:p w:rsidR="00FB5AB3" w:rsidRPr="00540996" w:rsidRDefault="00FB5AB3" w:rsidP="00F021E0">
      <w:pPr>
        <w:rPr>
          <w:rFonts w:ascii="Verdana" w:hAnsi="Verdana"/>
          <w:sz w:val="20"/>
          <w:szCs w:val="20"/>
          <w:lang w:val="tr-TR"/>
        </w:rPr>
      </w:pPr>
    </w:p>
    <w:p w:rsidR="00DC6DE6" w:rsidRPr="00540996" w:rsidRDefault="00DC6DE6" w:rsidP="00F021E0">
      <w:pPr>
        <w:rPr>
          <w:rFonts w:ascii="Verdana" w:hAnsi="Verdana"/>
          <w:sz w:val="20"/>
          <w:szCs w:val="20"/>
          <w:lang w:val="tr-TR"/>
        </w:rPr>
      </w:pPr>
    </w:p>
    <w:p w:rsidR="00DC6DE6" w:rsidRPr="00540996" w:rsidRDefault="00DC6DE6" w:rsidP="00F021E0">
      <w:pPr>
        <w:rPr>
          <w:rFonts w:ascii="Verdana" w:hAnsi="Verdana"/>
          <w:sz w:val="20"/>
          <w:szCs w:val="20"/>
          <w:lang w:val="tr-TR"/>
        </w:rPr>
      </w:pPr>
    </w:p>
    <w:p w:rsidR="00DC6DE6" w:rsidRPr="00540996" w:rsidRDefault="00DC6DE6" w:rsidP="00F021E0">
      <w:pPr>
        <w:rPr>
          <w:rFonts w:ascii="Verdana" w:hAnsi="Verdana"/>
          <w:sz w:val="20"/>
          <w:szCs w:val="20"/>
          <w:lang w:val="tr-TR"/>
        </w:rPr>
      </w:pPr>
    </w:p>
    <w:p w:rsidR="003B33A2" w:rsidRPr="00540996" w:rsidRDefault="003B33A2" w:rsidP="003B33A2">
      <w:pPr>
        <w:numPr>
          <w:ilvl w:val="0"/>
          <w:numId w:val="4"/>
        </w:numPr>
        <w:rPr>
          <w:rFonts w:ascii="Verdana" w:hAnsi="Verdana"/>
          <w:sz w:val="20"/>
          <w:szCs w:val="20"/>
          <w:lang w:val="tr-TR"/>
        </w:rPr>
      </w:pPr>
      <w:r w:rsidRPr="00540996">
        <w:rPr>
          <w:rFonts w:ascii="Verdana" w:hAnsi="Verdana"/>
          <w:sz w:val="20"/>
          <w:szCs w:val="20"/>
          <w:lang w:val="tr-TR"/>
        </w:rPr>
        <w:t>2009</w:t>
      </w:r>
      <w:r w:rsidR="00904A75" w:rsidRPr="00540996">
        <w:rPr>
          <w:rFonts w:ascii="Verdana" w:hAnsi="Verdana"/>
          <w:sz w:val="20"/>
          <w:szCs w:val="20"/>
          <w:lang w:val="tr-TR"/>
        </w:rPr>
        <w:t xml:space="preserve"> yılın</w:t>
      </w:r>
      <w:r w:rsidRPr="00540996">
        <w:rPr>
          <w:rFonts w:ascii="Verdana" w:hAnsi="Verdana"/>
          <w:sz w:val="20"/>
          <w:szCs w:val="20"/>
          <w:lang w:val="tr-TR"/>
        </w:rPr>
        <w:t>da</w:t>
      </w:r>
      <w:r w:rsidR="00904A75" w:rsidRPr="00540996">
        <w:rPr>
          <w:rFonts w:ascii="Verdana" w:hAnsi="Verdana"/>
          <w:sz w:val="20"/>
          <w:szCs w:val="20"/>
          <w:lang w:val="tr-TR"/>
        </w:rPr>
        <w:t>,</w:t>
      </w:r>
      <w:r w:rsidRPr="00540996">
        <w:rPr>
          <w:rFonts w:ascii="Verdana" w:hAnsi="Verdana"/>
          <w:sz w:val="20"/>
          <w:szCs w:val="20"/>
          <w:lang w:val="tr-TR"/>
        </w:rPr>
        <w:t xml:space="preserve"> finansal krizin gölge</w:t>
      </w:r>
      <w:r w:rsidR="00904A75" w:rsidRPr="00540996">
        <w:rPr>
          <w:rFonts w:ascii="Verdana" w:hAnsi="Verdana"/>
          <w:sz w:val="20"/>
          <w:szCs w:val="20"/>
          <w:lang w:val="tr-TR"/>
        </w:rPr>
        <w:t xml:space="preserve">sinde, </w:t>
      </w:r>
      <w:r w:rsidR="00734886" w:rsidRPr="00540996">
        <w:rPr>
          <w:rFonts w:ascii="Verdana" w:hAnsi="Verdana"/>
          <w:sz w:val="20"/>
          <w:szCs w:val="20"/>
          <w:lang w:val="tr-TR"/>
        </w:rPr>
        <w:t>küresel</w:t>
      </w:r>
      <w:r w:rsidR="00904A75" w:rsidRPr="00540996">
        <w:rPr>
          <w:rFonts w:ascii="Verdana" w:hAnsi="Verdana"/>
          <w:sz w:val="20"/>
          <w:szCs w:val="20"/>
          <w:lang w:val="tr-TR"/>
        </w:rPr>
        <w:t xml:space="preserve"> sigortacılığın gündemine yerleşen </w:t>
      </w:r>
      <w:r w:rsidRPr="00540996">
        <w:rPr>
          <w:rFonts w:ascii="Verdana" w:hAnsi="Verdana"/>
          <w:sz w:val="20"/>
          <w:szCs w:val="20"/>
          <w:lang w:val="tr-TR"/>
        </w:rPr>
        <w:t>konular</w:t>
      </w:r>
      <w:r w:rsidR="004248DC" w:rsidRPr="00540996">
        <w:rPr>
          <w:rFonts w:ascii="Verdana" w:hAnsi="Verdana"/>
          <w:sz w:val="20"/>
          <w:szCs w:val="20"/>
          <w:lang w:val="tr-TR"/>
        </w:rPr>
        <w:t xml:space="preserve"> şunlar olmuştur</w:t>
      </w:r>
      <w:r w:rsidRPr="00540996">
        <w:rPr>
          <w:rFonts w:ascii="Verdana" w:hAnsi="Verdana"/>
          <w:sz w:val="20"/>
          <w:szCs w:val="20"/>
          <w:lang w:val="tr-TR"/>
        </w:rPr>
        <w:t xml:space="preserve">:  </w:t>
      </w:r>
    </w:p>
    <w:p w:rsidR="004248DC" w:rsidRPr="00540996" w:rsidRDefault="004248DC" w:rsidP="004248DC">
      <w:pPr>
        <w:rPr>
          <w:rFonts w:ascii="Verdana" w:hAnsi="Verdana"/>
          <w:sz w:val="20"/>
          <w:szCs w:val="20"/>
          <w:lang w:val="tr-TR"/>
        </w:rPr>
      </w:pPr>
    </w:p>
    <w:p w:rsidR="002A1760" w:rsidRPr="00540996" w:rsidRDefault="00904A75" w:rsidP="004248DC">
      <w:pPr>
        <w:numPr>
          <w:ilvl w:val="1"/>
          <w:numId w:val="4"/>
        </w:numPr>
        <w:rPr>
          <w:rFonts w:ascii="Verdana" w:hAnsi="Verdana"/>
          <w:sz w:val="20"/>
          <w:szCs w:val="20"/>
          <w:lang w:val="tr-TR"/>
        </w:rPr>
      </w:pPr>
      <w:r w:rsidRPr="00540996">
        <w:rPr>
          <w:rFonts w:ascii="Verdana" w:hAnsi="Verdana"/>
          <w:sz w:val="20"/>
          <w:szCs w:val="20"/>
          <w:lang w:val="tr-TR"/>
        </w:rPr>
        <w:t>Olumsuz m</w:t>
      </w:r>
      <w:r w:rsidR="002A1760" w:rsidRPr="00540996">
        <w:rPr>
          <w:rFonts w:ascii="Verdana" w:hAnsi="Verdana"/>
          <w:sz w:val="20"/>
          <w:szCs w:val="20"/>
          <w:lang w:val="tr-TR"/>
        </w:rPr>
        <w:t xml:space="preserve">akroekonomik </w:t>
      </w:r>
      <w:r w:rsidRPr="00540996">
        <w:rPr>
          <w:rFonts w:ascii="Verdana" w:hAnsi="Verdana"/>
          <w:sz w:val="20"/>
          <w:szCs w:val="20"/>
          <w:lang w:val="tr-TR"/>
        </w:rPr>
        <w:t>gelişmeler</w:t>
      </w:r>
      <w:r w:rsidR="002A1760" w:rsidRPr="00540996">
        <w:rPr>
          <w:rFonts w:ascii="Verdana" w:hAnsi="Verdana"/>
          <w:sz w:val="20"/>
          <w:szCs w:val="20"/>
          <w:lang w:val="tr-TR"/>
        </w:rPr>
        <w:t xml:space="preserve"> ve dalgalı hisse </w:t>
      </w:r>
      <w:r w:rsidRPr="00540996">
        <w:rPr>
          <w:rFonts w:ascii="Verdana" w:hAnsi="Verdana"/>
          <w:sz w:val="20"/>
          <w:szCs w:val="20"/>
          <w:lang w:val="tr-TR"/>
        </w:rPr>
        <w:t>senedi piyasalarından kaynaklanan</w:t>
      </w:r>
      <w:r w:rsidR="002A1760" w:rsidRPr="00540996">
        <w:rPr>
          <w:rFonts w:ascii="Verdana" w:hAnsi="Verdana"/>
          <w:sz w:val="20"/>
          <w:szCs w:val="20"/>
          <w:lang w:val="tr-TR"/>
        </w:rPr>
        <w:t xml:space="preserve"> büyüme koşulları</w:t>
      </w:r>
      <w:r w:rsidRPr="00540996">
        <w:rPr>
          <w:rFonts w:ascii="Verdana" w:hAnsi="Verdana"/>
          <w:sz w:val="20"/>
          <w:szCs w:val="20"/>
          <w:lang w:val="tr-TR"/>
        </w:rPr>
        <w:t>ndaki zorlaşma,</w:t>
      </w:r>
      <w:r w:rsidR="002A1760" w:rsidRPr="00540996">
        <w:rPr>
          <w:rFonts w:ascii="Verdana" w:hAnsi="Verdana"/>
          <w:sz w:val="20"/>
          <w:szCs w:val="20"/>
          <w:lang w:val="tr-TR"/>
        </w:rPr>
        <w:t xml:space="preserve"> </w:t>
      </w:r>
    </w:p>
    <w:p w:rsidR="002A1760" w:rsidRPr="00540996" w:rsidRDefault="002A1760" w:rsidP="004248DC">
      <w:pPr>
        <w:numPr>
          <w:ilvl w:val="1"/>
          <w:numId w:val="4"/>
        </w:numPr>
        <w:rPr>
          <w:rFonts w:ascii="Verdana" w:hAnsi="Verdana"/>
          <w:sz w:val="20"/>
          <w:szCs w:val="20"/>
          <w:lang w:val="tr-TR"/>
        </w:rPr>
      </w:pPr>
      <w:r w:rsidRPr="00540996">
        <w:rPr>
          <w:rFonts w:ascii="Verdana" w:hAnsi="Verdana"/>
          <w:sz w:val="20"/>
          <w:szCs w:val="20"/>
          <w:lang w:val="tr-TR"/>
        </w:rPr>
        <w:t>Kısıtlı büyüme koşulları içinde dağıtım kanalları, özellikle bankas</w:t>
      </w:r>
      <w:r w:rsidR="00904A75" w:rsidRPr="00540996">
        <w:rPr>
          <w:rFonts w:ascii="Verdana" w:hAnsi="Verdana"/>
          <w:sz w:val="20"/>
          <w:szCs w:val="20"/>
          <w:lang w:val="tr-TR"/>
        </w:rPr>
        <w:t>ürans kanalında yaşanan rekabetteki artış,</w:t>
      </w:r>
    </w:p>
    <w:p w:rsidR="002A1760" w:rsidRPr="00540996" w:rsidRDefault="002A1760" w:rsidP="004248DC">
      <w:pPr>
        <w:numPr>
          <w:ilvl w:val="1"/>
          <w:numId w:val="4"/>
        </w:numPr>
        <w:rPr>
          <w:rFonts w:ascii="Verdana" w:hAnsi="Verdana"/>
          <w:sz w:val="20"/>
          <w:szCs w:val="20"/>
          <w:lang w:val="tr-TR"/>
        </w:rPr>
      </w:pPr>
      <w:r w:rsidRPr="00540996">
        <w:rPr>
          <w:rFonts w:ascii="Verdana" w:hAnsi="Verdana"/>
          <w:sz w:val="20"/>
          <w:szCs w:val="20"/>
          <w:lang w:val="tr-TR"/>
        </w:rPr>
        <w:t xml:space="preserve">Hasar ve </w:t>
      </w:r>
      <w:r w:rsidR="004248DC" w:rsidRPr="00540996">
        <w:rPr>
          <w:rFonts w:ascii="Verdana" w:hAnsi="Verdana"/>
          <w:sz w:val="20"/>
          <w:szCs w:val="20"/>
          <w:lang w:val="tr-TR"/>
        </w:rPr>
        <w:t>operasyonel</w:t>
      </w:r>
      <w:r w:rsidRPr="00540996">
        <w:rPr>
          <w:rFonts w:ascii="Verdana" w:hAnsi="Verdana"/>
          <w:sz w:val="20"/>
          <w:szCs w:val="20"/>
          <w:lang w:val="tr-TR"/>
        </w:rPr>
        <w:t xml:space="preserve"> maliyetlerdeki ar</w:t>
      </w:r>
      <w:r w:rsidR="00904A75" w:rsidRPr="00540996">
        <w:rPr>
          <w:rFonts w:ascii="Verdana" w:hAnsi="Verdana"/>
          <w:sz w:val="20"/>
          <w:szCs w:val="20"/>
          <w:lang w:val="tr-TR"/>
        </w:rPr>
        <w:t>tış</w:t>
      </w:r>
      <w:r w:rsidRPr="00540996">
        <w:rPr>
          <w:rFonts w:ascii="Verdana" w:hAnsi="Verdana"/>
          <w:sz w:val="20"/>
          <w:szCs w:val="20"/>
          <w:lang w:val="tr-TR"/>
        </w:rPr>
        <w:t xml:space="preserve"> nedeniyle sigorta ürünlerini</w:t>
      </w:r>
      <w:r w:rsidR="004248DC" w:rsidRPr="00540996">
        <w:rPr>
          <w:rFonts w:ascii="Verdana" w:hAnsi="Verdana"/>
          <w:sz w:val="20"/>
          <w:szCs w:val="20"/>
          <w:lang w:val="tr-TR"/>
        </w:rPr>
        <w:t>n</w:t>
      </w:r>
      <w:r w:rsidR="00904A75" w:rsidRPr="00540996">
        <w:rPr>
          <w:rFonts w:ascii="Verdana" w:hAnsi="Verdana"/>
          <w:sz w:val="20"/>
          <w:szCs w:val="20"/>
          <w:lang w:val="tr-TR"/>
        </w:rPr>
        <w:t xml:space="preserve"> karlılığındaki azalma,</w:t>
      </w:r>
    </w:p>
    <w:p w:rsidR="002A1760" w:rsidRPr="00540996" w:rsidRDefault="00904A75" w:rsidP="004248DC">
      <w:pPr>
        <w:numPr>
          <w:ilvl w:val="1"/>
          <w:numId w:val="4"/>
        </w:numPr>
        <w:rPr>
          <w:rFonts w:ascii="Verdana" w:hAnsi="Verdana"/>
          <w:sz w:val="20"/>
          <w:szCs w:val="20"/>
          <w:lang w:val="tr-TR"/>
        </w:rPr>
      </w:pPr>
      <w:r w:rsidRPr="00540996">
        <w:rPr>
          <w:rFonts w:ascii="Verdana" w:hAnsi="Verdana"/>
          <w:sz w:val="20"/>
          <w:szCs w:val="20"/>
          <w:lang w:val="tr-TR"/>
        </w:rPr>
        <w:t xml:space="preserve">Büyüme ve karlılıktan ziyade </w:t>
      </w:r>
      <w:r w:rsidR="002A1760" w:rsidRPr="00540996">
        <w:rPr>
          <w:rFonts w:ascii="Verdana" w:hAnsi="Verdana"/>
          <w:sz w:val="20"/>
          <w:szCs w:val="20"/>
          <w:lang w:val="tr-TR"/>
        </w:rPr>
        <w:t xml:space="preserve">nakit ve risk yönetimine </w:t>
      </w:r>
      <w:r w:rsidRPr="00540996">
        <w:rPr>
          <w:rFonts w:ascii="Verdana" w:hAnsi="Verdana"/>
          <w:sz w:val="20"/>
          <w:szCs w:val="20"/>
          <w:lang w:val="tr-TR"/>
        </w:rPr>
        <w:t xml:space="preserve">daha fazla </w:t>
      </w:r>
      <w:r w:rsidR="002A1760" w:rsidRPr="00540996">
        <w:rPr>
          <w:rFonts w:ascii="Verdana" w:hAnsi="Verdana"/>
          <w:sz w:val="20"/>
          <w:szCs w:val="20"/>
          <w:lang w:val="tr-TR"/>
        </w:rPr>
        <w:t>odaklanma ihtiyacı</w:t>
      </w:r>
      <w:r w:rsidRPr="00540996">
        <w:rPr>
          <w:rFonts w:ascii="Verdana" w:hAnsi="Verdana"/>
          <w:sz w:val="20"/>
          <w:szCs w:val="20"/>
          <w:lang w:val="tr-TR"/>
        </w:rPr>
        <w:t>,</w:t>
      </w:r>
      <w:r w:rsidR="002A1760" w:rsidRPr="00540996">
        <w:rPr>
          <w:rFonts w:ascii="Verdana" w:hAnsi="Verdana"/>
          <w:sz w:val="20"/>
          <w:szCs w:val="20"/>
          <w:lang w:val="tr-TR"/>
        </w:rPr>
        <w:t xml:space="preserve"> </w:t>
      </w:r>
    </w:p>
    <w:p w:rsidR="002A1760" w:rsidRPr="00540996" w:rsidRDefault="00904A75" w:rsidP="004248DC">
      <w:pPr>
        <w:numPr>
          <w:ilvl w:val="1"/>
          <w:numId w:val="4"/>
        </w:numPr>
        <w:rPr>
          <w:rFonts w:ascii="Verdana" w:hAnsi="Verdana"/>
          <w:sz w:val="20"/>
          <w:szCs w:val="20"/>
          <w:lang w:val="tr-TR"/>
        </w:rPr>
      </w:pPr>
      <w:r w:rsidRPr="00540996">
        <w:rPr>
          <w:rFonts w:ascii="Verdana" w:hAnsi="Verdana"/>
          <w:sz w:val="20"/>
          <w:szCs w:val="20"/>
          <w:lang w:val="tr-TR"/>
        </w:rPr>
        <w:t>Şirket</w:t>
      </w:r>
      <w:r w:rsidR="002A1760" w:rsidRPr="00540996">
        <w:rPr>
          <w:rFonts w:ascii="Verdana" w:hAnsi="Verdana"/>
          <w:sz w:val="20"/>
          <w:szCs w:val="20"/>
          <w:lang w:val="tr-TR"/>
        </w:rPr>
        <w:t xml:space="preserve"> likidite</w:t>
      </w:r>
      <w:r w:rsidRPr="00540996">
        <w:rPr>
          <w:rFonts w:ascii="Verdana" w:hAnsi="Verdana"/>
          <w:sz w:val="20"/>
          <w:szCs w:val="20"/>
          <w:lang w:val="tr-TR"/>
        </w:rPr>
        <w:t>lerinin azalması</w:t>
      </w:r>
      <w:r w:rsidR="002A1760" w:rsidRPr="00540996">
        <w:rPr>
          <w:rFonts w:ascii="Verdana" w:hAnsi="Verdana"/>
          <w:sz w:val="20"/>
          <w:szCs w:val="20"/>
          <w:lang w:val="tr-TR"/>
        </w:rPr>
        <w:t xml:space="preserve"> yüzünden sektör tarihindeki en yüksek borçlanma ihtiyacı ile karşı karşıya </w:t>
      </w:r>
      <w:r w:rsidR="004248DC" w:rsidRPr="00540996">
        <w:rPr>
          <w:rFonts w:ascii="Verdana" w:hAnsi="Verdana"/>
          <w:sz w:val="20"/>
          <w:szCs w:val="20"/>
          <w:lang w:val="tr-TR"/>
        </w:rPr>
        <w:t>kalma</w:t>
      </w:r>
      <w:r w:rsidRPr="00540996">
        <w:rPr>
          <w:rFonts w:ascii="Verdana" w:hAnsi="Verdana"/>
          <w:sz w:val="20"/>
          <w:szCs w:val="20"/>
          <w:lang w:val="tr-TR"/>
        </w:rPr>
        <w:t>,</w:t>
      </w:r>
    </w:p>
    <w:p w:rsidR="002A1760" w:rsidRPr="00540996" w:rsidRDefault="00DA7C4B" w:rsidP="004248DC">
      <w:pPr>
        <w:numPr>
          <w:ilvl w:val="1"/>
          <w:numId w:val="4"/>
        </w:numPr>
        <w:rPr>
          <w:rFonts w:ascii="Verdana" w:hAnsi="Verdana"/>
          <w:sz w:val="20"/>
          <w:szCs w:val="20"/>
          <w:lang w:val="tr-TR"/>
        </w:rPr>
      </w:pPr>
      <w:r w:rsidRPr="00540996">
        <w:rPr>
          <w:rFonts w:ascii="Verdana" w:hAnsi="Verdana"/>
          <w:sz w:val="20"/>
          <w:szCs w:val="20"/>
          <w:lang w:val="tr-TR"/>
        </w:rPr>
        <w:t>Sermaye yeterlilik (</w:t>
      </w:r>
      <w:r w:rsidR="002A1760" w:rsidRPr="00540996">
        <w:rPr>
          <w:rFonts w:ascii="Verdana" w:hAnsi="Verdana"/>
          <w:sz w:val="20"/>
          <w:szCs w:val="20"/>
          <w:lang w:val="tr-TR"/>
        </w:rPr>
        <w:t>Solvency II</w:t>
      </w:r>
      <w:r w:rsidRPr="00540996">
        <w:rPr>
          <w:rFonts w:ascii="Verdana" w:hAnsi="Verdana"/>
          <w:sz w:val="20"/>
          <w:szCs w:val="20"/>
          <w:lang w:val="tr-TR"/>
        </w:rPr>
        <w:t>)</w:t>
      </w:r>
      <w:r w:rsidR="002A1760" w:rsidRPr="00540996">
        <w:rPr>
          <w:rFonts w:ascii="Verdana" w:hAnsi="Verdana"/>
          <w:sz w:val="20"/>
          <w:szCs w:val="20"/>
          <w:lang w:val="tr-TR"/>
        </w:rPr>
        <w:t xml:space="preserve"> kurallarının uygula</w:t>
      </w:r>
      <w:r w:rsidR="00593E53" w:rsidRPr="00540996">
        <w:rPr>
          <w:rFonts w:ascii="Verdana" w:hAnsi="Verdana"/>
          <w:sz w:val="20"/>
          <w:szCs w:val="20"/>
          <w:lang w:val="tr-TR"/>
        </w:rPr>
        <w:t>nmasın</w:t>
      </w:r>
      <w:r w:rsidR="002A1760" w:rsidRPr="00540996">
        <w:rPr>
          <w:rFonts w:ascii="Verdana" w:hAnsi="Verdana"/>
          <w:sz w:val="20"/>
          <w:szCs w:val="20"/>
          <w:lang w:val="tr-TR"/>
        </w:rPr>
        <w:t>da</w:t>
      </w:r>
      <w:r w:rsidR="00593E53" w:rsidRPr="00540996">
        <w:rPr>
          <w:rFonts w:ascii="Verdana" w:hAnsi="Verdana"/>
          <w:sz w:val="20"/>
          <w:szCs w:val="20"/>
          <w:lang w:val="tr-TR"/>
        </w:rPr>
        <w:t>ki</w:t>
      </w:r>
      <w:r w:rsidR="002A1760" w:rsidRPr="00540996">
        <w:rPr>
          <w:rFonts w:ascii="Verdana" w:hAnsi="Verdana"/>
          <w:sz w:val="20"/>
          <w:szCs w:val="20"/>
          <w:lang w:val="tr-TR"/>
        </w:rPr>
        <w:t xml:space="preserve"> </w:t>
      </w:r>
      <w:r w:rsidR="004248DC" w:rsidRPr="00540996">
        <w:rPr>
          <w:rFonts w:ascii="Verdana" w:hAnsi="Verdana"/>
          <w:sz w:val="20"/>
          <w:szCs w:val="20"/>
          <w:lang w:val="tr-TR"/>
        </w:rPr>
        <w:t xml:space="preserve">ve </w:t>
      </w:r>
      <w:r w:rsidR="00593E53" w:rsidRPr="00540996">
        <w:rPr>
          <w:rFonts w:ascii="Verdana" w:hAnsi="Verdana"/>
          <w:sz w:val="20"/>
          <w:szCs w:val="20"/>
          <w:lang w:val="tr-TR"/>
        </w:rPr>
        <w:t xml:space="preserve">uygulamanın </w:t>
      </w:r>
      <w:r w:rsidR="004248DC" w:rsidRPr="00540996">
        <w:rPr>
          <w:rFonts w:ascii="Verdana" w:hAnsi="Verdana"/>
          <w:sz w:val="20"/>
          <w:szCs w:val="20"/>
          <w:lang w:val="tr-TR"/>
        </w:rPr>
        <w:t>karlılığa</w:t>
      </w:r>
      <w:r w:rsidR="00593E53" w:rsidRPr="00540996">
        <w:rPr>
          <w:rFonts w:ascii="Verdana" w:hAnsi="Verdana"/>
          <w:sz w:val="20"/>
          <w:szCs w:val="20"/>
          <w:lang w:val="tr-TR"/>
        </w:rPr>
        <w:t xml:space="preserve"> </w:t>
      </w:r>
      <w:r w:rsidR="004248DC" w:rsidRPr="00540996">
        <w:rPr>
          <w:rFonts w:ascii="Verdana" w:hAnsi="Verdana"/>
          <w:sz w:val="20"/>
          <w:szCs w:val="20"/>
          <w:lang w:val="tr-TR"/>
        </w:rPr>
        <w:t>etki</w:t>
      </w:r>
      <w:r w:rsidR="00593E53" w:rsidRPr="00540996">
        <w:rPr>
          <w:rFonts w:ascii="Verdana" w:hAnsi="Verdana"/>
          <w:sz w:val="20"/>
          <w:szCs w:val="20"/>
          <w:lang w:val="tr-TR"/>
        </w:rPr>
        <w:t>s</w:t>
      </w:r>
      <w:r w:rsidR="004248DC" w:rsidRPr="00540996">
        <w:rPr>
          <w:rFonts w:ascii="Verdana" w:hAnsi="Verdana"/>
          <w:sz w:val="20"/>
          <w:szCs w:val="20"/>
          <w:lang w:val="tr-TR"/>
        </w:rPr>
        <w:t xml:space="preserve">indeki </w:t>
      </w:r>
      <w:r w:rsidR="002A1760" w:rsidRPr="00540996">
        <w:rPr>
          <w:rFonts w:ascii="Verdana" w:hAnsi="Verdana"/>
          <w:sz w:val="20"/>
          <w:szCs w:val="20"/>
          <w:lang w:val="tr-TR"/>
        </w:rPr>
        <w:t>belirsizlik</w:t>
      </w:r>
      <w:r w:rsidR="00593E53" w:rsidRPr="00540996">
        <w:rPr>
          <w:rFonts w:ascii="Verdana" w:hAnsi="Verdana"/>
          <w:sz w:val="20"/>
          <w:szCs w:val="20"/>
          <w:lang w:val="tr-TR"/>
        </w:rPr>
        <w:t>ler.</w:t>
      </w:r>
    </w:p>
    <w:p w:rsidR="00DC6DE6" w:rsidRPr="00540996" w:rsidRDefault="00DC6DE6" w:rsidP="004248DC">
      <w:pPr>
        <w:ind w:left="1080"/>
        <w:rPr>
          <w:rFonts w:ascii="Verdana" w:hAnsi="Verdana"/>
          <w:sz w:val="20"/>
          <w:szCs w:val="20"/>
          <w:lang w:val="tr-TR"/>
        </w:rPr>
      </w:pPr>
    </w:p>
    <w:p w:rsidR="004248DC" w:rsidRPr="00540996" w:rsidRDefault="00593E53" w:rsidP="004248DC">
      <w:pPr>
        <w:numPr>
          <w:ilvl w:val="0"/>
          <w:numId w:val="4"/>
        </w:numPr>
        <w:rPr>
          <w:rFonts w:ascii="Verdana" w:hAnsi="Verdana"/>
          <w:sz w:val="20"/>
          <w:szCs w:val="20"/>
          <w:lang w:val="tr-TR"/>
        </w:rPr>
      </w:pPr>
      <w:r w:rsidRPr="00540996">
        <w:rPr>
          <w:rFonts w:ascii="Verdana" w:hAnsi="Verdana"/>
          <w:sz w:val="20"/>
          <w:szCs w:val="20"/>
          <w:lang w:val="tr-TR"/>
        </w:rPr>
        <w:t>Sektör şirketlerinin</w:t>
      </w:r>
      <w:r w:rsidR="004248DC" w:rsidRPr="00540996">
        <w:rPr>
          <w:rFonts w:ascii="Verdana" w:hAnsi="Verdana"/>
          <w:sz w:val="20"/>
          <w:szCs w:val="20"/>
          <w:lang w:val="tr-TR"/>
        </w:rPr>
        <w:t xml:space="preserve"> yıllardır </w:t>
      </w:r>
      <w:r w:rsidRPr="00540996">
        <w:rPr>
          <w:rFonts w:ascii="Verdana" w:hAnsi="Verdana"/>
          <w:sz w:val="20"/>
          <w:szCs w:val="20"/>
          <w:lang w:val="tr-TR"/>
        </w:rPr>
        <w:t xml:space="preserve">oluştura geldiği </w:t>
      </w:r>
      <w:r w:rsidR="004248DC" w:rsidRPr="00540996">
        <w:rPr>
          <w:rFonts w:ascii="Verdana" w:hAnsi="Verdana"/>
          <w:sz w:val="20"/>
          <w:szCs w:val="20"/>
          <w:lang w:val="tr-TR"/>
        </w:rPr>
        <w:t xml:space="preserve">likidite, krizle birlikte önemli </w:t>
      </w:r>
      <w:r w:rsidRPr="00540996">
        <w:rPr>
          <w:rFonts w:ascii="Verdana" w:hAnsi="Verdana"/>
          <w:sz w:val="20"/>
          <w:szCs w:val="20"/>
          <w:lang w:val="tr-TR"/>
        </w:rPr>
        <w:t>ölçüde</w:t>
      </w:r>
      <w:r w:rsidR="004248DC" w:rsidRPr="00540996">
        <w:rPr>
          <w:rFonts w:ascii="Verdana" w:hAnsi="Verdana"/>
          <w:sz w:val="20"/>
          <w:szCs w:val="20"/>
          <w:lang w:val="tr-TR"/>
        </w:rPr>
        <w:t xml:space="preserve"> azalmıştır. Örneğin</w:t>
      </w:r>
      <w:r w:rsidRPr="00540996">
        <w:rPr>
          <w:rFonts w:ascii="Verdana" w:hAnsi="Verdana"/>
          <w:sz w:val="20"/>
          <w:szCs w:val="20"/>
          <w:lang w:val="tr-TR"/>
        </w:rPr>
        <w:t>,</w:t>
      </w:r>
      <w:r w:rsidR="004248DC" w:rsidRPr="00540996">
        <w:rPr>
          <w:rFonts w:ascii="Verdana" w:hAnsi="Verdana"/>
          <w:sz w:val="20"/>
          <w:szCs w:val="20"/>
          <w:lang w:val="tr-TR"/>
        </w:rPr>
        <w:t xml:space="preserve"> </w:t>
      </w:r>
      <w:r w:rsidRPr="00540996">
        <w:rPr>
          <w:rFonts w:ascii="Verdana" w:hAnsi="Verdana"/>
          <w:sz w:val="20"/>
          <w:szCs w:val="20"/>
          <w:lang w:val="tr-TR"/>
        </w:rPr>
        <w:t xml:space="preserve">bu nedenle </w:t>
      </w:r>
      <w:r w:rsidR="004248DC" w:rsidRPr="00540996">
        <w:rPr>
          <w:rFonts w:ascii="Verdana" w:hAnsi="Verdana"/>
          <w:sz w:val="20"/>
          <w:szCs w:val="20"/>
          <w:lang w:val="tr-TR"/>
        </w:rPr>
        <w:t xml:space="preserve">2008 yılında ABD </w:t>
      </w:r>
      <w:r w:rsidR="006D4307" w:rsidRPr="00540996">
        <w:rPr>
          <w:rFonts w:ascii="Verdana" w:hAnsi="Verdana"/>
          <w:sz w:val="20"/>
          <w:szCs w:val="20"/>
          <w:lang w:val="tr-TR"/>
        </w:rPr>
        <w:t>elementer</w:t>
      </w:r>
      <w:r w:rsidR="004248DC" w:rsidRPr="00540996">
        <w:rPr>
          <w:rFonts w:ascii="Verdana" w:hAnsi="Verdana"/>
          <w:sz w:val="20"/>
          <w:szCs w:val="20"/>
          <w:lang w:val="tr-TR"/>
        </w:rPr>
        <w:t xml:space="preserve"> </w:t>
      </w:r>
      <w:r w:rsidR="007F7DCA" w:rsidRPr="00540996">
        <w:rPr>
          <w:rFonts w:ascii="Verdana" w:hAnsi="Verdana"/>
          <w:sz w:val="20"/>
          <w:szCs w:val="20"/>
          <w:lang w:val="tr-TR"/>
        </w:rPr>
        <w:t>sigorta</w:t>
      </w:r>
      <w:r w:rsidRPr="00540996">
        <w:rPr>
          <w:rFonts w:ascii="Verdana" w:hAnsi="Verdana"/>
          <w:sz w:val="20"/>
          <w:szCs w:val="20"/>
          <w:lang w:val="tr-TR"/>
        </w:rPr>
        <w:t xml:space="preserve"> sektöründe</w:t>
      </w:r>
      <w:r w:rsidR="004248DC" w:rsidRPr="00540996">
        <w:rPr>
          <w:rFonts w:ascii="Verdana" w:hAnsi="Verdana"/>
          <w:sz w:val="20"/>
          <w:szCs w:val="20"/>
          <w:lang w:val="tr-TR"/>
        </w:rPr>
        <w:t xml:space="preserve"> ortalama 20%, hayat ve sağlıkta ise 30-40% düzeyinde bir özkaynak azalması olmuştur. </w:t>
      </w:r>
    </w:p>
    <w:p w:rsidR="004248DC" w:rsidRPr="00540996" w:rsidRDefault="004248DC" w:rsidP="004248DC">
      <w:pPr>
        <w:rPr>
          <w:rFonts w:ascii="Verdana" w:hAnsi="Verdana"/>
          <w:sz w:val="20"/>
          <w:szCs w:val="20"/>
          <w:lang w:val="tr-TR"/>
        </w:rPr>
      </w:pPr>
    </w:p>
    <w:p w:rsidR="004248DC" w:rsidRPr="00540996" w:rsidRDefault="004248DC" w:rsidP="004248DC">
      <w:pPr>
        <w:ind w:left="284"/>
        <w:rPr>
          <w:rFonts w:ascii="Verdana" w:hAnsi="Verdana"/>
          <w:sz w:val="20"/>
          <w:szCs w:val="20"/>
          <w:lang w:val="tr-TR"/>
        </w:rPr>
      </w:pPr>
      <w:r w:rsidRPr="00540996">
        <w:rPr>
          <w:rFonts w:ascii="Verdana" w:hAnsi="Verdana"/>
          <w:sz w:val="20"/>
          <w:szCs w:val="20"/>
          <w:lang w:val="tr-TR"/>
        </w:rPr>
        <w:t>Bu durum</w:t>
      </w:r>
      <w:r w:rsidR="00593E53" w:rsidRPr="00540996">
        <w:rPr>
          <w:rFonts w:ascii="Verdana" w:hAnsi="Verdana"/>
          <w:sz w:val="20"/>
          <w:szCs w:val="20"/>
          <w:lang w:val="tr-TR"/>
        </w:rPr>
        <w:t>,</w:t>
      </w:r>
      <w:r w:rsidRPr="00540996">
        <w:rPr>
          <w:rFonts w:ascii="Verdana" w:hAnsi="Verdana"/>
          <w:sz w:val="20"/>
          <w:szCs w:val="20"/>
          <w:lang w:val="tr-TR"/>
        </w:rPr>
        <w:t xml:space="preserve"> sermaye yeterlilik oranlarını olumsuz etkilemiştir. </w:t>
      </w:r>
      <w:r w:rsidR="00593E53" w:rsidRPr="00540996">
        <w:rPr>
          <w:rFonts w:ascii="Verdana" w:hAnsi="Verdana"/>
          <w:sz w:val="20"/>
          <w:szCs w:val="20"/>
          <w:lang w:val="tr-TR"/>
        </w:rPr>
        <w:t>Aynı zamanda s</w:t>
      </w:r>
      <w:r w:rsidRPr="00540996">
        <w:rPr>
          <w:rFonts w:ascii="Verdana" w:hAnsi="Verdana"/>
          <w:sz w:val="20"/>
          <w:szCs w:val="20"/>
          <w:lang w:val="tr-TR"/>
        </w:rPr>
        <w:t xml:space="preserve">ermaye maliyetinin </w:t>
      </w:r>
      <w:r w:rsidR="00593E53" w:rsidRPr="00540996">
        <w:rPr>
          <w:rFonts w:ascii="Verdana" w:hAnsi="Verdana"/>
          <w:sz w:val="20"/>
          <w:szCs w:val="20"/>
          <w:lang w:val="tr-TR"/>
        </w:rPr>
        <w:t>de yükselmiş olması,</w:t>
      </w:r>
      <w:r w:rsidRPr="00540996">
        <w:rPr>
          <w:rFonts w:ascii="Verdana" w:hAnsi="Verdana"/>
          <w:sz w:val="20"/>
          <w:szCs w:val="20"/>
          <w:lang w:val="tr-TR"/>
        </w:rPr>
        <w:t xml:space="preserve"> küresel piyasalarda sigorta fiyat</w:t>
      </w:r>
      <w:r w:rsidR="00593E53" w:rsidRPr="00540996">
        <w:rPr>
          <w:rFonts w:ascii="Verdana" w:hAnsi="Verdana"/>
          <w:sz w:val="20"/>
          <w:szCs w:val="20"/>
          <w:lang w:val="tr-TR"/>
        </w:rPr>
        <w:t>larının</w:t>
      </w:r>
      <w:r w:rsidRPr="00540996">
        <w:rPr>
          <w:rFonts w:ascii="Verdana" w:hAnsi="Verdana"/>
          <w:sz w:val="20"/>
          <w:szCs w:val="20"/>
          <w:lang w:val="tr-TR"/>
        </w:rPr>
        <w:t xml:space="preserve"> </w:t>
      </w:r>
      <w:r w:rsidR="00593E53" w:rsidRPr="00540996">
        <w:rPr>
          <w:rFonts w:ascii="Verdana" w:hAnsi="Verdana"/>
          <w:sz w:val="20"/>
          <w:szCs w:val="20"/>
          <w:lang w:val="tr-TR"/>
        </w:rPr>
        <w:t>artabileceği sinyali vermektedir.</w:t>
      </w:r>
    </w:p>
    <w:p w:rsidR="004248DC" w:rsidRPr="00540996" w:rsidRDefault="004248DC" w:rsidP="004248DC">
      <w:pPr>
        <w:ind w:left="284"/>
        <w:rPr>
          <w:rFonts w:ascii="Verdana" w:hAnsi="Verdana"/>
          <w:sz w:val="20"/>
          <w:szCs w:val="20"/>
          <w:lang w:val="tr-TR"/>
        </w:rPr>
      </w:pPr>
    </w:p>
    <w:p w:rsidR="00593E53" w:rsidRPr="00540996" w:rsidRDefault="00A77555" w:rsidP="00A77555">
      <w:pPr>
        <w:numPr>
          <w:ilvl w:val="0"/>
          <w:numId w:val="6"/>
        </w:numPr>
        <w:rPr>
          <w:rFonts w:ascii="Verdana" w:hAnsi="Verdana"/>
          <w:sz w:val="20"/>
          <w:szCs w:val="20"/>
          <w:lang w:val="tr-TR"/>
        </w:rPr>
      </w:pPr>
      <w:r w:rsidRPr="00540996">
        <w:rPr>
          <w:rFonts w:ascii="Verdana" w:hAnsi="Verdana"/>
          <w:sz w:val="20"/>
          <w:szCs w:val="20"/>
          <w:lang w:val="tr-TR"/>
        </w:rPr>
        <w:t>Dünya sigorta prim</w:t>
      </w:r>
      <w:r w:rsidR="00593E53" w:rsidRPr="00540996">
        <w:rPr>
          <w:rFonts w:ascii="Verdana" w:hAnsi="Verdana"/>
          <w:sz w:val="20"/>
          <w:szCs w:val="20"/>
          <w:lang w:val="tr-TR"/>
        </w:rPr>
        <w:t xml:space="preserve"> hacminin</w:t>
      </w:r>
      <w:r w:rsidRPr="00540996">
        <w:rPr>
          <w:rFonts w:ascii="Verdana" w:hAnsi="Verdana"/>
          <w:sz w:val="20"/>
          <w:szCs w:val="20"/>
          <w:lang w:val="tr-TR"/>
        </w:rPr>
        <w:t xml:space="preserve"> 87%’si OECD ülk</w:t>
      </w:r>
      <w:r w:rsidR="00593E53" w:rsidRPr="00540996">
        <w:rPr>
          <w:rFonts w:ascii="Verdana" w:hAnsi="Verdana"/>
          <w:sz w:val="20"/>
          <w:szCs w:val="20"/>
          <w:lang w:val="tr-TR"/>
        </w:rPr>
        <w:t>elerinde gerçekleşmektedir.</w:t>
      </w:r>
    </w:p>
    <w:p w:rsidR="00DC6DE6" w:rsidRPr="00540996" w:rsidRDefault="00593E53" w:rsidP="00593E53">
      <w:pPr>
        <w:ind w:left="360"/>
        <w:rPr>
          <w:rFonts w:ascii="Verdana" w:hAnsi="Verdana"/>
          <w:sz w:val="20"/>
          <w:szCs w:val="20"/>
          <w:lang w:val="tr-TR"/>
        </w:rPr>
      </w:pPr>
      <w:r w:rsidRPr="00540996">
        <w:rPr>
          <w:rFonts w:ascii="Verdana" w:hAnsi="Verdana"/>
          <w:sz w:val="20"/>
          <w:szCs w:val="20"/>
          <w:lang w:val="tr-TR"/>
        </w:rPr>
        <w:t>Ancak gelişmiş pazarların</w:t>
      </w:r>
      <w:r w:rsidR="00A77555" w:rsidRPr="00540996">
        <w:rPr>
          <w:rFonts w:ascii="Verdana" w:hAnsi="Verdana"/>
          <w:sz w:val="20"/>
          <w:szCs w:val="20"/>
          <w:lang w:val="tr-TR"/>
        </w:rPr>
        <w:t xml:space="preserve"> </w:t>
      </w:r>
      <w:r w:rsidRPr="00540996">
        <w:rPr>
          <w:rFonts w:ascii="Verdana" w:hAnsi="Verdana"/>
          <w:sz w:val="20"/>
          <w:szCs w:val="20"/>
          <w:lang w:val="tr-TR"/>
        </w:rPr>
        <w:t>doymuş</w:t>
      </w:r>
      <w:r w:rsidR="00A77555" w:rsidRPr="00540996">
        <w:rPr>
          <w:rFonts w:ascii="Verdana" w:hAnsi="Verdana"/>
          <w:sz w:val="20"/>
          <w:szCs w:val="20"/>
          <w:lang w:val="tr-TR"/>
        </w:rPr>
        <w:t xml:space="preserve"> yapı</w:t>
      </w:r>
      <w:r w:rsidRPr="00540996">
        <w:rPr>
          <w:rFonts w:ascii="Verdana" w:hAnsi="Verdana"/>
          <w:sz w:val="20"/>
          <w:szCs w:val="20"/>
          <w:lang w:val="tr-TR"/>
        </w:rPr>
        <w:t>sı</w:t>
      </w:r>
      <w:r w:rsidR="00A77555" w:rsidRPr="00540996">
        <w:rPr>
          <w:rFonts w:ascii="Verdana" w:hAnsi="Verdana"/>
          <w:sz w:val="20"/>
          <w:szCs w:val="20"/>
          <w:lang w:val="tr-TR"/>
        </w:rPr>
        <w:t xml:space="preserve"> ve </w:t>
      </w:r>
      <w:r w:rsidR="007F7DCA" w:rsidRPr="00540996">
        <w:rPr>
          <w:rFonts w:ascii="Verdana" w:hAnsi="Verdana"/>
          <w:sz w:val="20"/>
          <w:szCs w:val="20"/>
          <w:lang w:val="tr-TR"/>
        </w:rPr>
        <w:t>sigortada</w:t>
      </w:r>
      <w:r w:rsidRPr="00540996">
        <w:rPr>
          <w:rFonts w:ascii="Verdana" w:hAnsi="Verdana"/>
          <w:sz w:val="20"/>
          <w:szCs w:val="20"/>
          <w:lang w:val="tr-TR"/>
        </w:rPr>
        <w:t xml:space="preserve"> </w:t>
      </w:r>
      <w:r w:rsidR="00A77555" w:rsidRPr="00540996">
        <w:rPr>
          <w:rFonts w:ascii="Verdana" w:hAnsi="Verdana"/>
          <w:sz w:val="20"/>
          <w:szCs w:val="20"/>
          <w:lang w:val="tr-TR"/>
        </w:rPr>
        <w:t xml:space="preserve">özellikle son 10 yılda </w:t>
      </w:r>
      <w:r w:rsidRPr="00540996">
        <w:rPr>
          <w:rFonts w:ascii="Verdana" w:hAnsi="Verdana"/>
          <w:sz w:val="20"/>
          <w:szCs w:val="20"/>
          <w:lang w:val="tr-TR"/>
        </w:rPr>
        <w:t xml:space="preserve">artan </w:t>
      </w:r>
      <w:r w:rsidR="00A77555" w:rsidRPr="00540996">
        <w:rPr>
          <w:rFonts w:ascii="Verdana" w:hAnsi="Verdana"/>
          <w:sz w:val="20"/>
          <w:szCs w:val="20"/>
          <w:lang w:val="tr-TR"/>
        </w:rPr>
        <w:t>konsant</w:t>
      </w:r>
      <w:r w:rsidR="00825F01" w:rsidRPr="00540996">
        <w:rPr>
          <w:rFonts w:ascii="Verdana" w:hAnsi="Verdana"/>
          <w:sz w:val="20"/>
          <w:szCs w:val="20"/>
          <w:lang w:val="tr-TR"/>
        </w:rPr>
        <w:t xml:space="preserve">rasyon, büyük global </w:t>
      </w:r>
      <w:r w:rsidRPr="00540996">
        <w:rPr>
          <w:rFonts w:ascii="Verdana" w:hAnsi="Verdana"/>
          <w:sz w:val="20"/>
          <w:szCs w:val="20"/>
          <w:lang w:val="tr-TR"/>
        </w:rPr>
        <w:t>s</w:t>
      </w:r>
      <w:r w:rsidR="0011499D" w:rsidRPr="00540996">
        <w:rPr>
          <w:rFonts w:ascii="Verdana" w:hAnsi="Verdana"/>
          <w:sz w:val="20"/>
          <w:szCs w:val="20"/>
          <w:lang w:val="tr-TR"/>
        </w:rPr>
        <w:t>igorta</w:t>
      </w:r>
      <w:r w:rsidRPr="00540996">
        <w:rPr>
          <w:rFonts w:ascii="Verdana" w:hAnsi="Verdana"/>
          <w:sz w:val="20"/>
          <w:szCs w:val="20"/>
          <w:lang w:val="tr-TR"/>
        </w:rPr>
        <w:t xml:space="preserve"> şirketlerini </w:t>
      </w:r>
      <w:r w:rsidR="0011499D" w:rsidRPr="00540996">
        <w:rPr>
          <w:rFonts w:ascii="Verdana" w:hAnsi="Verdana"/>
          <w:sz w:val="20"/>
          <w:szCs w:val="20"/>
          <w:lang w:val="tr-TR"/>
        </w:rPr>
        <w:t xml:space="preserve">henüz doygunluğa ulaşmamış, potansiyeli yüksek </w:t>
      </w:r>
      <w:r w:rsidR="00A77555" w:rsidRPr="00540996">
        <w:rPr>
          <w:rFonts w:ascii="Verdana" w:hAnsi="Verdana"/>
          <w:sz w:val="20"/>
          <w:szCs w:val="20"/>
          <w:lang w:val="tr-TR"/>
        </w:rPr>
        <w:t>gelişmekte olan piyasalar</w:t>
      </w:r>
      <w:r w:rsidR="009607CD" w:rsidRPr="00540996">
        <w:rPr>
          <w:rFonts w:ascii="Verdana" w:hAnsi="Verdana"/>
          <w:sz w:val="20"/>
          <w:szCs w:val="20"/>
          <w:lang w:val="tr-TR"/>
        </w:rPr>
        <w:t>a</w:t>
      </w:r>
      <w:r w:rsidR="00A77555" w:rsidRPr="00540996">
        <w:rPr>
          <w:rFonts w:ascii="Verdana" w:hAnsi="Verdana"/>
          <w:sz w:val="20"/>
          <w:szCs w:val="20"/>
          <w:lang w:val="tr-TR"/>
        </w:rPr>
        <w:t xml:space="preserve"> yöneltmiştir</w:t>
      </w:r>
      <w:r w:rsidR="0011499D" w:rsidRPr="00540996">
        <w:rPr>
          <w:rFonts w:ascii="Verdana" w:hAnsi="Verdana"/>
          <w:sz w:val="20"/>
          <w:szCs w:val="20"/>
          <w:lang w:val="tr-TR"/>
        </w:rPr>
        <w:t>.</w:t>
      </w:r>
    </w:p>
    <w:p w:rsidR="00737218" w:rsidRPr="00540996" w:rsidRDefault="00737218" w:rsidP="00737218">
      <w:pPr>
        <w:jc w:val="center"/>
        <w:rPr>
          <w:rFonts w:ascii="Verdana" w:hAnsi="Verdana"/>
          <w:sz w:val="20"/>
          <w:szCs w:val="20"/>
          <w:lang w:val="tr-TR"/>
        </w:rPr>
      </w:pPr>
    </w:p>
    <w:p w:rsidR="00DC6DE6" w:rsidRPr="00540996" w:rsidRDefault="0044650E" w:rsidP="00737218">
      <w:pPr>
        <w:jc w:val="center"/>
        <w:rPr>
          <w:rFonts w:ascii="Verdana" w:hAnsi="Verdana"/>
          <w:sz w:val="20"/>
          <w:szCs w:val="20"/>
          <w:lang w:val="tr-TR"/>
        </w:rPr>
      </w:pPr>
      <w:r w:rsidRPr="00540996">
        <w:rPr>
          <w:rFonts w:ascii="Verdana" w:hAnsi="Verdana"/>
          <w:noProof/>
          <w:sz w:val="20"/>
          <w:szCs w:val="20"/>
          <w:lang w:val="tr-TR"/>
        </w:rPr>
        <w:lastRenderedPageBreak/>
        <w:drawing>
          <wp:inline distT="0" distB="0" distL="0" distR="0">
            <wp:extent cx="2533650" cy="1905000"/>
            <wp:effectExtent l="1905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40996">
        <w:rPr>
          <w:rFonts w:ascii="Verdana" w:hAnsi="Verdana"/>
          <w:noProof/>
          <w:sz w:val="20"/>
          <w:szCs w:val="20"/>
          <w:lang w:val="tr-TR"/>
        </w:rPr>
        <w:drawing>
          <wp:inline distT="0" distB="0" distL="0" distR="0">
            <wp:extent cx="2533650" cy="1905000"/>
            <wp:effectExtent l="1905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6DE6" w:rsidRPr="00540996" w:rsidRDefault="00DC6DE6" w:rsidP="00737218">
      <w:pPr>
        <w:jc w:val="center"/>
        <w:rPr>
          <w:rFonts w:ascii="Verdana" w:hAnsi="Verdana"/>
          <w:sz w:val="20"/>
          <w:szCs w:val="20"/>
          <w:lang w:val="tr-TR"/>
        </w:rPr>
      </w:pPr>
    </w:p>
    <w:p w:rsidR="00DC6DE6" w:rsidRPr="00540996" w:rsidRDefault="00DC6DE6" w:rsidP="00737218">
      <w:pPr>
        <w:rPr>
          <w:rFonts w:ascii="Verdana" w:hAnsi="Verdana"/>
          <w:sz w:val="20"/>
          <w:szCs w:val="20"/>
          <w:lang w:val="tr-TR"/>
        </w:rPr>
      </w:pPr>
    </w:p>
    <w:p w:rsidR="00DC6DE6" w:rsidRPr="00540996" w:rsidRDefault="00737218" w:rsidP="00737218">
      <w:pPr>
        <w:numPr>
          <w:ilvl w:val="0"/>
          <w:numId w:val="6"/>
        </w:numPr>
        <w:rPr>
          <w:rFonts w:ascii="Verdana" w:hAnsi="Verdana"/>
          <w:sz w:val="20"/>
          <w:szCs w:val="20"/>
          <w:lang w:val="tr-TR"/>
        </w:rPr>
      </w:pPr>
      <w:r w:rsidRPr="00540996">
        <w:rPr>
          <w:rFonts w:ascii="Verdana" w:hAnsi="Verdana"/>
          <w:sz w:val="20"/>
          <w:szCs w:val="20"/>
          <w:lang w:val="tr-TR"/>
        </w:rPr>
        <w:t xml:space="preserve">2008’in ilk </w:t>
      </w:r>
      <w:r w:rsidR="00CF2C6A" w:rsidRPr="00540996">
        <w:rPr>
          <w:rFonts w:ascii="Verdana" w:hAnsi="Verdana"/>
          <w:sz w:val="20"/>
          <w:szCs w:val="20"/>
          <w:lang w:val="tr-TR"/>
        </w:rPr>
        <w:t>6 ayında</w:t>
      </w:r>
      <w:r w:rsidRPr="00540996">
        <w:rPr>
          <w:rFonts w:ascii="Verdana" w:hAnsi="Verdana"/>
          <w:sz w:val="20"/>
          <w:szCs w:val="20"/>
          <w:lang w:val="tr-TR"/>
        </w:rPr>
        <w:t xml:space="preserve"> dünya </w:t>
      </w:r>
      <w:r w:rsidR="007F7DCA" w:rsidRPr="00540996">
        <w:rPr>
          <w:rFonts w:ascii="Verdana" w:hAnsi="Verdana"/>
          <w:sz w:val="20"/>
          <w:szCs w:val="20"/>
          <w:lang w:val="tr-TR"/>
        </w:rPr>
        <w:t>sigorta</w:t>
      </w:r>
      <w:r w:rsidRPr="00540996">
        <w:rPr>
          <w:rFonts w:ascii="Verdana" w:hAnsi="Verdana"/>
          <w:sz w:val="20"/>
          <w:szCs w:val="20"/>
          <w:lang w:val="tr-TR"/>
        </w:rPr>
        <w:t xml:space="preserve"> piyasasında</w:t>
      </w:r>
      <w:r w:rsidR="00CF2C6A" w:rsidRPr="00540996">
        <w:rPr>
          <w:rFonts w:ascii="Verdana" w:hAnsi="Verdana"/>
          <w:sz w:val="20"/>
          <w:szCs w:val="20"/>
          <w:lang w:val="tr-TR"/>
        </w:rPr>
        <w:t xml:space="preserve"> yaşanan</w:t>
      </w:r>
      <w:r w:rsidRPr="00540996">
        <w:rPr>
          <w:rFonts w:ascii="Verdana" w:hAnsi="Verdana"/>
          <w:sz w:val="20"/>
          <w:szCs w:val="20"/>
          <w:lang w:val="tr-TR"/>
        </w:rPr>
        <w:t xml:space="preserve"> 2</w:t>
      </w:r>
      <w:r w:rsidR="00CF2C6A" w:rsidRPr="00540996">
        <w:rPr>
          <w:rFonts w:ascii="Verdana" w:hAnsi="Verdana"/>
          <w:sz w:val="20"/>
          <w:szCs w:val="20"/>
          <w:lang w:val="tr-TR"/>
        </w:rPr>
        <w:t>3 satın alma ve birleşme işlemine karşın</w:t>
      </w:r>
      <w:r w:rsidRPr="00540996">
        <w:rPr>
          <w:rFonts w:ascii="Verdana" w:hAnsi="Verdana"/>
          <w:sz w:val="20"/>
          <w:szCs w:val="20"/>
          <w:lang w:val="tr-TR"/>
        </w:rPr>
        <w:t>, krizle birlikte işlemler azalmış, 2009 Nisan’ına kadar</w:t>
      </w:r>
      <w:r w:rsidR="00CF2C6A" w:rsidRPr="00540996">
        <w:rPr>
          <w:rFonts w:ascii="Verdana" w:hAnsi="Verdana"/>
          <w:sz w:val="20"/>
          <w:szCs w:val="20"/>
          <w:lang w:val="tr-TR"/>
        </w:rPr>
        <w:t>ki 9 aylık dönemde sadece 6</w:t>
      </w:r>
      <w:r w:rsidRPr="00540996">
        <w:rPr>
          <w:rFonts w:ascii="Verdana" w:hAnsi="Verdana"/>
          <w:sz w:val="20"/>
          <w:szCs w:val="20"/>
          <w:lang w:val="tr-TR"/>
        </w:rPr>
        <w:t xml:space="preserve"> </w:t>
      </w:r>
      <w:r w:rsidR="00CF2C6A" w:rsidRPr="00540996">
        <w:rPr>
          <w:rFonts w:ascii="Verdana" w:hAnsi="Verdana"/>
          <w:sz w:val="20"/>
          <w:szCs w:val="20"/>
          <w:lang w:val="tr-TR"/>
        </w:rPr>
        <w:t>işlem</w:t>
      </w:r>
      <w:r w:rsidRPr="00540996">
        <w:rPr>
          <w:rFonts w:ascii="Verdana" w:hAnsi="Verdana"/>
          <w:sz w:val="20"/>
          <w:szCs w:val="20"/>
          <w:lang w:val="tr-TR"/>
        </w:rPr>
        <w:t xml:space="preserve"> gerçekleşmiştir. </w:t>
      </w:r>
    </w:p>
    <w:p w:rsidR="00737218" w:rsidRPr="00540996" w:rsidRDefault="00737218" w:rsidP="00737218">
      <w:pPr>
        <w:rPr>
          <w:rFonts w:ascii="Verdana" w:hAnsi="Verdana"/>
          <w:sz w:val="20"/>
          <w:szCs w:val="20"/>
          <w:lang w:val="tr-TR"/>
        </w:rPr>
      </w:pPr>
    </w:p>
    <w:p w:rsidR="00737218" w:rsidRPr="00540996" w:rsidRDefault="00737218" w:rsidP="00737218">
      <w:pPr>
        <w:ind w:left="360"/>
        <w:rPr>
          <w:rFonts w:ascii="Verdana" w:hAnsi="Verdana"/>
          <w:sz w:val="20"/>
          <w:szCs w:val="20"/>
          <w:lang w:val="tr-TR"/>
        </w:rPr>
      </w:pPr>
      <w:r w:rsidRPr="00540996">
        <w:rPr>
          <w:rFonts w:ascii="Verdana" w:hAnsi="Verdana"/>
          <w:sz w:val="20"/>
          <w:szCs w:val="20"/>
          <w:lang w:val="tr-TR"/>
        </w:rPr>
        <w:t xml:space="preserve">Nisan 2009 sonrası piyasalardaki hareketlenme ve iyileşme </w:t>
      </w:r>
      <w:r w:rsidR="009607CD" w:rsidRPr="00540996">
        <w:rPr>
          <w:rFonts w:ascii="Verdana" w:hAnsi="Verdana"/>
          <w:sz w:val="20"/>
          <w:szCs w:val="20"/>
          <w:lang w:val="tr-TR"/>
        </w:rPr>
        <w:t xml:space="preserve">ile </w:t>
      </w:r>
      <w:r w:rsidRPr="00540996">
        <w:rPr>
          <w:rFonts w:ascii="Verdana" w:hAnsi="Verdana"/>
          <w:sz w:val="20"/>
          <w:szCs w:val="20"/>
          <w:lang w:val="tr-TR"/>
        </w:rPr>
        <w:t>birlikte 11 satın alma ve birleşme yaşanmıştır.</w:t>
      </w:r>
    </w:p>
    <w:p w:rsidR="00FD7564" w:rsidRPr="00540996" w:rsidRDefault="00FD7564" w:rsidP="00737218">
      <w:pPr>
        <w:ind w:left="360"/>
        <w:rPr>
          <w:rFonts w:ascii="Verdana" w:hAnsi="Verdana"/>
          <w:sz w:val="20"/>
          <w:szCs w:val="20"/>
          <w:lang w:val="tr-TR"/>
        </w:rPr>
      </w:pPr>
    </w:p>
    <w:p w:rsidR="00FD7564" w:rsidRPr="00540996" w:rsidRDefault="00FD7564" w:rsidP="00737218">
      <w:pPr>
        <w:ind w:left="360"/>
        <w:rPr>
          <w:rFonts w:ascii="Verdana" w:hAnsi="Verdana"/>
          <w:sz w:val="20"/>
          <w:szCs w:val="20"/>
          <w:lang w:val="tr-TR"/>
        </w:rPr>
      </w:pPr>
      <w:r w:rsidRPr="00540996">
        <w:rPr>
          <w:rFonts w:ascii="Verdana" w:hAnsi="Verdana"/>
          <w:sz w:val="20"/>
          <w:szCs w:val="20"/>
          <w:lang w:val="tr-TR"/>
        </w:rPr>
        <w:t>(EG. AXA ING Spaın’i satınaldı, CNP Barclay’s in İtalya ve İspanya operasyonlarını devraldı)</w:t>
      </w:r>
    </w:p>
    <w:p w:rsidR="00DC6DE6" w:rsidRPr="00540996" w:rsidRDefault="00DC6DE6" w:rsidP="00737218">
      <w:pPr>
        <w:jc w:val="center"/>
        <w:rPr>
          <w:rFonts w:ascii="Verdana" w:hAnsi="Verdana"/>
          <w:sz w:val="20"/>
          <w:szCs w:val="20"/>
          <w:lang w:val="tr-TR"/>
        </w:rPr>
      </w:pPr>
    </w:p>
    <w:p w:rsidR="00DC6DE6" w:rsidRPr="00540996" w:rsidRDefault="00DC6DE6" w:rsidP="00F021E0">
      <w:pPr>
        <w:rPr>
          <w:rFonts w:ascii="Verdana" w:hAnsi="Verdana"/>
          <w:sz w:val="20"/>
          <w:szCs w:val="20"/>
          <w:lang w:val="tr-TR"/>
        </w:rPr>
      </w:pPr>
    </w:p>
    <w:p w:rsidR="00DC6DE6" w:rsidRPr="00540996" w:rsidRDefault="00734886" w:rsidP="00F021E0">
      <w:pPr>
        <w:rPr>
          <w:rFonts w:ascii="Verdana" w:hAnsi="Verdana"/>
          <w:sz w:val="20"/>
          <w:szCs w:val="20"/>
          <w:lang w:val="tr-TR"/>
        </w:rPr>
      </w:pPr>
      <w:r w:rsidRPr="00540996">
        <w:rPr>
          <w:rFonts w:ascii="Verdana" w:hAnsi="Verdana"/>
          <w:sz w:val="20"/>
          <w:szCs w:val="20"/>
          <w:lang w:val="tr-TR"/>
        </w:rPr>
        <w:br w:type="page"/>
      </w:r>
    </w:p>
    <w:p w:rsidR="00E636F7" w:rsidRPr="00540996" w:rsidRDefault="00E636F7" w:rsidP="00E63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0"/>
          <w:szCs w:val="20"/>
          <w:lang w:val="tr-TR"/>
        </w:rPr>
      </w:pPr>
      <w:r w:rsidRPr="00540996">
        <w:rPr>
          <w:rFonts w:ascii="Verdana" w:hAnsi="Verdana"/>
          <w:b/>
          <w:sz w:val="20"/>
          <w:szCs w:val="20"/>
          <w:lang w:val="tr-TR"/>
        </w:rPr>
        <w:lastRenderedPageBreak/>
        <w:t>TÜRKİYE SİGORTA PİYASASI</w:t>
      </w:r>
    </w:p>
    <w:p w:rsidR="00DC6DE6" w:rsidRPr="00540996" w:rsidRDefault="00DC6DE6" w:rsidP="00F021E0">
      <w:pPr>
        <w:rPr>
          <w:rFonts w:ascii="Verdana" w:hAnsi="Verdana"/>
          <w:sz w:val="20"/>
          <w:szCs w:val="20"/>
          <w:lang w:val="tr-TR"/>
        </w:rPr>
      </w:pPr>
    </w:p>
    <w:p w:rsidR="00DC6DE6" w:rsidRPr="00540996" w:rsidRDefault="00DC6DE6" w:rsidP="00F021E0">
      <w:pPr>
        <w:rPr>
          <w:rFonts w:ascii="Verdana" w:hAnsi="Verdana"/>
          <w:sz w:val="20"/>
          <w:szCs w:val="20"/>
          <w:lang w:val="tr-TR"/>
        </w:rPr>
      </w:pPr>
    </w:p>
    <w:p w:rsidR="00A51707" w:rsidRPr="00540996" w:rsidRDefault="00A51707" w:rsidP="00F021E0">
      <w:pPr>
        <w:numPr>
          <w:ilvl w:val="0"/>
          <w:numId w:val="6"/>
        </w:numPr>
        <w:rPr>
          <w:rFonts w:ascii="Verdana" w:hAnsi="Verdana"/>
          <w:sz w:val="20"/>
          <w:szCs w:val="20"/>
          <w:lang w:val="tr-TR"/>
        </w:rPr>
      </w:pPr>
      <w:r w:rsidRPr="00540996">
        <w:rPr>
          <w:rFonts w:ascii="Verdana" w:hAnsi="Verdana"/>
          <w:sz w:val="20"/>
          <w:szCs w:val="20"/>
          <w:lang w:val="tr-TR"/>
        </w:rPr>
        <w:t xml:space="preserve">Türkiye </w:t>
      </w:r>
      <w:r w:rsidR="00982812" w:rsidRPr="00540996">
        <w:rPr>
          <w:rFonts w:ascii="Verdana" w:hAnsi="Verdana"/>
          <w:sz w:val="20"/>
          <w:szCs w:val="20"/>
          <w:lang w:val="tr-TR"/>
        </w:rPr>
        <w:t>elementer</w:t>
      </w:r>
      <w:r w:rsidRPr="00540996">
        <w:rPr>
          <w:rFonts w:ascii="Verdana" w:hAnsi="Verdana"/>
          <w:sz w:val="20"/>
          <w:szCs w:val="20"/>
          <w:lang w:val="tr-TR"/>
        </w:rPr>
        <w:t xml:space="preserve"> sigorta sektörü 2009 yılında yaklaşık 10 milyar TL, hayat sigorta sektörü ise 1,7 milyar TL prim hacmine ulaşmıştır. Geçtiğimiz sene BES fon büyüklüğü ise 9 milyar TL’ye yaklaşmıştır.</w:t>
      </w:r>
    </w:p>
    <w:p w:rsidR="00A51707" w:rsidRPr="00540996" w:rsidRDefault="00A51707" w:rsidP="00A51707">
      <w:pPr>
        <w:rPr>
          <w:rFonts w:ascii="Verdana" w:hAnsi="Verdana"/>
          <w:sz w:val="20"/>
          <w:szCs w:val="20"/>
          <w:lang w:val="tr-TR"/>
        </w:rPr>
      </w:pPr>
    </w:p>
    <w:p w:rsidR="00E636F7" w:rsidRPr="00540996" w:rsidRDefault="00E636F7" w:rsidP="00F021E0">
      <w:pPr>
        <w:numPr>
          <w:ilvl w:val="0"/>
          <w:numId w:val="6"/>
        </w:numPr>
        <w:rPr>
          <w:rFonts w:ascii="Verdana" w:hAnsi="Verdana"/>
          <w:sz w:val="20"/>
          <w:szCs w:val="20"/>
          <w:lang w:val="tr-TR"/>
        </w:rPr>
      </w:pPr>
      <w:r w:rsidRPr="00540996">
        <w:rPr>
          <w:rFonts w:ascii="Verdana" w:hAnsi="Verdana"/>
          <w:sz w:val="20"/>
          <w:szCs w:val="20"/>
          <w:lang w:val="tr-TR"/>
        </w:rPr>
        <w:t>Türkiye</w:t>
      </w:r>
      <w:r w:rsidR="00CF2C6A" w:rsidRPr="00540996">
        <w:rPr>
          <w:rFonts w:ascii="Verdana" w:hAnsi="Verdana"/>
          <w:sz w:val="20"/>
          <w:szCs w:val="20"/>
          <w:lang w:val="tr-TR"/>
        </w:rPr>
        <w:t xml:space="preserve">’de </w:t>
      </w:r>
      <w:r w:rsidRPr="00540996">
        <w:rPr>
          <w:rFonts w:ascii="Verdana" w:hAnsi="Verdana"/>
          <w:sz w:val="20"/>
          <w:szCs w:val="20"/>
          <w:lang w:val="tr-TR"/>
        </w:rPr>
        <w:t xml:space="preserve">hem </w:t>
      </w:r>
      <w:r w:rsidR="00982812" w:rsidRPr="00540996">
        <w:rPr>
          <w:rFonts w:ascii="Verdana" w:hAnsi="Verdana"/>
          <w:sz w:val="20"/>
          <w:szCs w:val="20"/>
          <w:lang w:val="tr-TR"/>
        </w:rPr>
        <w:t>e</w:t>
      </w:r>
      <w:r w:rsidR="007F7DCA" w:rsidRPr="00540996">
        <w:rPr>
          <w:rFonts w:ascii="Verdana" w:hAnsi="Verdana"/>
          <w:sz w:val="20"/>
          <w:szCs w:val="20"/>
          <w:lang w:val="tr-TR"/>
        </w:rPr>
        <w:t>lementer</w:t>
      </w:r>
      <w:r w:rsidRPr="00540996">
        <w:rPr>
          <w:rFonts w:ascii="Verdana" w:hAnsi="Verdana"/>
          <w:sz w:val="20"/>
          <w:szCs w:val="20"/>
          <w:lang w:val="tr-TR"/>
        </w:rPr>
        <w:t xml:space="preserve"> </w:t>
      </w:r>
      <w:r w:rsidR="00CF2C6A" w:rsidRPr="00540996">
        <w:rPr>
          <w:rFonts w:ascii="Verdana" w:hAnsi="Verdana"/>
          <w:sz w:val="20"/>
          <w:szCs w:val="20"/>
          <w:lang w:val="tr-TR"/>
        </w:rPr>
        <w:t xml:space="preserve">sigorta </w:t>
      </w:r>
      <w:r w:rsidR="00982812" w:rsidRPr="00540996">
        <w:rPr>
          <w:rFonts w:ascii="Verdana" w:hAnsi="Verdana"/>
          <w:sz w:val="20"/>
          <w:szCs w:val="20"/>
          <w:lang w:val="tr-TR"/>
        </w:rPr>
        <w:t xml:space="preserve">hem de </w:t>
      </w:r>
      <w:r w:rsidRPr="00540996">
        <w:rPr>
          <w:rFonts w:ascii="Verdana" w:hAnsi="Verdana"/>
          <w:sz w:val="20"/>
          <w:szCs w:val="20"/>
          <w:lang w:val="tr-TR"/>
        </w:rPr>
        <w:t>emeklilik alanlarında</w:t>
      </w:r>
      <w:r w:rsidR="00CF2C6A" w:rsidRPr="00540996">
        <w:rPr>
          <w:rFonts w:ascii="Verdana" w:hAnsi="Verdana"/>
          <w:sz w:val="20"/>
          <w:szCs w:val="20"/>
          <w:lang w:val="tr-TR"/>
        </w:rPr>
        <w:t xml:space="preserve">ki penetrasyon, </w:t>
      </w:r>
      <w:r w:rsidR="00A51707" w:rsidRPr="00540996">
        <w:rPr>
          <w:rFonts w:ascii="Verdana" w:hAnsi="Verdana"/>
          <w:sz w:val="20"/>
          <w:szCs w:val="20"/>
          <w:lang w:val="tr-TR"/>
        </w:rPr>
        <w:t>birçok</w:t>
      </w:r>
      <w:r w:rsidR="00CF2C6A" w:rsidRPr="00540996">
        <w:rPr>
          <w:rFonts w:ascii="Verdana" w:hAnsi="Verdana"/>
          <w:sz w:val="20"/>
          <w:szCs w:val="20"/>
          <w:lang w:val="tr-TR"/>
        </w:rPr>
        <w:t xml:space="preserve"> ülkeye göre daha düşüktür.</w:t>
      </w:r>
    </w:p>
    <w:p w:rsidR="00E636F7" w:rsidRPr="00540996" w:rsidRDefault="00E636F7" w:rsidP="00FA7564">
      <w:pPr>
        <w:jc w:val="center"/>
        <w:rPr>
          <w:rFonts w:ascii="Verdana" w:hAnsi="Verdana"/>
          <w:sz w:val="20"/>
          <w:szCs w:val="20"/>
          <w:lang w:val="tr-TR"/>
        </w:rPr>
      </w:pPr>
    </w:p>
    <w:p w:rsidR="00E636F7" w:rsidRPr="00540996" w:rsidRDefault="00E636F7" w:rsidP="00FA7564">
      <w:pPr>
        <w:jc w:val="center"/>
        <w:rPr>
          <w:rFonts w:ascii="Verdana" w:hAnsi="Verdana"/>
          <w:sz w:val="20"/>
          <w:szCs w:val="20"/>
          <w:lang w:val="tr-TR"/>
        </w:rPr>
      </w:pPr>
    </w:p>
    <w:p w:rsidR="00E636F7" w:rsidRPr="00540996" w:rsidRDefault="0044650E" w:rsidP="00FA7564">
      <w:pPr>
        <w:jc w:val="center"/>
        <w:rPr>
          <w:rFonts w:ascii="Verdana" w:hAnsi="Verdana"/>
          <w:sz w:val="20"/>
          <w:szCs w:val="20"/>
          <w:lang w:val="tr-TR"/>
        </w:rPr>
      </w:pPr>
      <w:r w:rsidRPr="00540996">
        <w:rPr>
          <w:rFonts w:ascii="Verdana" w:hAnsi="Verdana"/>
          <w:noProof/>
          <w:sz w:val="20"/>
          <w:szCs w:val="20"/>
          <w:lang w:val="tr-TR"/>
        </w:rPr>
        <w:drawing>
          <wp:inline distT="0" distB="0" distL="0" distR="0">
            <wp:extent cx="2533650" cy="1905000"/>
            <wp:effectExtent l="1905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40996">
        <w:rPr>
          <w:rFonts w:ascii="Verdana" w:hAnsi="Verdana"/>
          <w:noProof/>
          <w:sz w:val="20"/>
          <w:szCs w:val="20"/>
          <w:lang w:val="tr-TR"/>
        </w:rPr>
        <w:drawing>
          <wp:inline distT="0" distB="0" distL="0" distR="0">
            <wp:extent cx="2552700" cy="1914525"/>
            <wp:effectExtent l="1905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36F7" w:rsidRPr="00540996" w:rsidRDefault="00E636F7" w:rsidP="00FA7564">
      <w:pPr>
        <w:jc w:val="center"/>
        <w:rPr>
          <w:rFonts w:ascii="Verdana" w:hAnsi="Verdana"/>
          <w:sz w:val="20"/>
          <w:szCs w:val="20"/>
          <w:lang w:val="tr-TR"/>
        </w:rPr>
      </w:pPr>
    </w:p>
    <w:p w:rsidR="00E636F7" w:rsidRPr="00540996" w:rsidRDefault="00E636F7" w:rsidP="00E636F7">
      <w:pPr>
        <w:rPr>
          <w:rFonts w:ascii="Verdana" w:hAnsi="Verdana"/>
          <w:sz w:val="20"/>
          <w:szCs w:val="20"/>
          <w:lang w:val="tr-TR"/>
        </w:rPr>
      </w:pPr>
    </w:p>
    <w:p w:rsidR="00FA7564" w:rsidRPr="00540996" w:rsidRDefault="00FA7564" w:rsidP="00E636F7">
      <w:pPr>
        <w:rPr>
          <w:rFonts w:ascii="Verdana" w:hAnsi="Verdana"/>
          <w:sz w:val="20"/>
          <w:szCs w:val="20"/>
          <w:lang w:val="tr-TR"/>
        </w:rPr>
      </w:pPr>
    </w:p>
    <w:p w:rsidR="00FB5AB3" w:rsidRPr="00540996" w:rsidRDefault="00E636F7" w:rsidP="00F021E0">
      <w:pPr>
        <w:numPr>
          <w:ilvl w:val="0"/>
          <w:numId w:val="6"/>
        </w:numPr>
        <w:rPr>
          <w:rFonts w:ascii="Verdana" w:hAnsi="Verdana"/>
          <w:sz w:val="20"/>
          <w:szCs w:val="20"/>
          <w:lang w:val="tr-TR"/>
        </w:rPr>
      </w:pPr>
      <w:r w:rsidRPr="00540996">
        <w:rPr>
          <w:rFonts w:ascii="Verdana" w:hAnsi="Verdana"/>
          <w:sz w:val="20"/>
          <w:szCs w:val="20"/>
          <w:lang w:val="tr-TR"/>
        </w:rPr>
        <w:t>T</w:t>
      </w:r>
      <w:r w:rsidR="00CF2C6A" w:rsidRPr="00540996">
        <w:rPr>
          <w:rFonts w:ascii="Verdana" w:hAnsi="Verdana"/>
          <w:sz w:val="20"/>
          <w:szCs w:val="20"/>
          <w:lang w:val="tr-TR"/>
        </w:rPr>
        <w:t xml:space="preserve">ürkiye’de </w:t>
      </w:r>
      <w:r w:rsidR="00982812" w:rsidRPr="00540996">
        <w:rPr>
          <w:rFonts w:ascii="Verdana" w:hAnsi="Verdana"/>
          <w:sz w:val="20"/>
          <w:szCs w:val="20"/>
          <w:lang w:val="tr-TR"/>
        </w:rPr>
        <w:t>e</w:t>
      </w:r>
      <w:r w:rsidR="007F7DCA" w:rsidRPr="00540996">
        <w:rPr>
          <w:rFonts w:ascii="Verdana" w:hAnsi="Verdana"/>
          <w:sz w:val="20"/>
          <w:szCs w:val="20"/>
          <w:lang w:val="tr-TR"/>
        </w:rPr>
        <w:t>lementer</w:t>
      </w:r>
      <w:r w:rsidR="00982812" w:rsidRPr="00540996">
        <w:rPr>
          <w:rFonts w:ascii="Verdana" w:hAnsi="Verdana"/>
          <w:sz w:val="20"/>
          <w:szCs w:val="20"/>
          <w:lang w:val="tr-TR"/>
        </w:rPr>
        <w:t xml:space="preserve"> ve hayat</w:t>
      </w:r>
      <w:r w:rsidR="00FB5AB3" w:rsidRPr="00540996">
        <w:rPr>
          <w:rFonts w:ascii="Verdana" w:hAnsi="Verdana"/>
          <w:sz w:val="20"/>
          <w:szCs w:val="20"/>
          <w:lang w:val="tr-TR"/>
        </w:rPr>
        <w:t xml:space="preserve"> </w:t>
      </w:r>
      <w:r w:rsidR="007F7DCA" w:rsidRPr="00540996">
        <w:rPr>
          <w:rFonts w:ascii="Verdana" w:hAnsi="Verdana"/>
          <w:sz w:val="20"/>
          <w:szCs w:val="20"/>
          <w:lang w:val="tr-TR"/>
        </w:rPr>
        <w:t>sigorta</w:t>
      </w:r>
      <w:r w:rsidR="00FB5AB3" w:rsidRPr="00540996">
        <w:rPr>
          <w:rFonts w:ascii="Verdana" w:hAnsi="Verdana"/>
          <w:sz w:val="20"/>
          <w:szCs w:val="20"/>
          <w:lang w:val="tr-TR"/>
        </w:rPr>
        <w:t xml:space="preserve"> son 5 yılda yıllık ortalama %11 büyümekle birlikte, </w:t>
      </w:r>
      <w:r w:rsidR="003B02E0" w:rsidRPr="00540996">
        <w:rPr>
          <w:rFonts w:ascii="Verdana" w:hAnsi="Verdana"/>
          <w:sz w:val="20"/>
          <w:szCs w:val="20"/>
          <w:lang w:val="tr-TR"/>
        </w:rPr>
        <w:t xml:space="preserve">kişi başı yıllık ortalama prim tutarı </w:t>
      </w:r>
      <w:r w:rsidR="00FB5AB3" w:rsidRPr="00540996">
        <w:rPr>
          <w:rFonts w:ascii="Verdana" w:hAnsi="Verdana"/>
          <w:sz w:val="20"/>
          <w:szCs w:val="20"/>
          <w:lang w:val="tr-TR"/>
        </w:rPr>
        <w:t>dünya ortalamasının hala çok altında</w:t>
      </w:r>
      <w:r w:rsidR="003B02E0" w:rsidRPr="00540996">
        <w:rPr>
          <w:rFonts w:ascii="Verdana" w:hAnsi="Verdana"/>
          <w:sz w:val="20"/>
          <w:szCs w:val="20"/>
          <w:lang w:val="tr-TR"/>
        </w:rPr>
        <w:t>dır</w:t>
      </w:r>
      <w:r w:rsidR="00CF2C6A" w:rsidRPr="00540996">
        <w:rPr>
          <w:rFonts w:ascii="Verdana" w:hAnsi="Verdana"/>
          <w:sz w:val="20"/>
          <w:szCs w:val="20"/>
          <w:lang w:val="tr-TR"/>
        </w:rPr>
        <w:t>.</w:t>
      </w:r>
      <w:r w:rsidR="00FB5AB3" w:rsidRPr="00540996">
        <w:rPr>
          <w:rFonts w:ascii="Verdana" w:hAnsi="Verdana"/>
          <w:sz w:val="20"/>
          <w:szCs w:val="20"/>
          <w:lang w:val="tr-TR"/>
        </w:rPr>
        <w:t xml:space="preserve"> </w:t>
      </w:r>
    </w:p>
    <w:p w:rsidR="00FB5AB3" w:rsidRPr="00540996" w:rsidRDefault="00FB5AB3" w:rsidP="00F021E0">
      <w:pPr>
        <w:ind w:left="1056"/>
        <w:rPr>
          <w:rFonts w:ascii="Verdana" w:hAnsi="Verdana"/>
          <w:sz w:val="20"/>
          <w:szCs w:val="20"/>
          <w:lang w:val="tr-TR"/>
        </w:rPr>
      </w:pPr>
    </w:p>
    <w:p w:rsidR="00FB5AB3" w:rsidRPr="00540996" w:rsidRDefault="00FB5AB3" w:rsidP="00F021E0">
      <w:pPr>
        <w:ind w:left="1440"/>
        <w:rPr>
          <w:rFonts w:ascii="Verdana" w:hAnsi="Verdana"/>
          <w:sz w:val="20"/>
          <w:szCs w:val="20"/>
          <w:u w:val="single"/>
          <w:lang w:val="tr-TR"/>
        </w:rPr>
      </w:pPr>
      <w:r w:rsidRPr="00540996">
        <w:rPr>
          <w:rFonts w:ascii="Verdana" w:hAnsi="Verdana"/>
          <w:sz w:val="20"/>
          <w:szCs w:val="20"/>
          <w:u w:val="single"/>
          <w:lang w:val="tr-TR"/>
        </w:rPr>
        <w:t>Kişi başına ortalama yıllık prim tutarı (2008):</w:t>
      </w:r>
    </w:p>
    <w:p w:rsidR="00FB5AB3" w:rsidRPr="00540996" w:rsidRDefault="00FB5AB3" w:rsidP="00F021E0">
      <w:pPr>
        <w:ind w:left="1440"/>
        <w:rPr>
          <w:rFonts w:ascii="Verdana" w:hAnsi="Verdana"/>
          <w:sz w:val="20"/>
          <w:szCs w:val="20"/>
          <w:lang w:val="tr-TR"/>
        </w:rPr>
      </w:pPr>
      <w:r w:rsidRPr="00540996">
        <w:rPr>
          <w:rFonts w:ascii="Verdana" w:hAnsi="Verdana"/>
          <w:sz w:val="20"/>
          <w:szCs w:val="20"/>
          <w:lang w:val="tr-TR"/>
        </w:rPr>
        <w:t>Türkiye             116 USD</w:t>
      </w:r>
    </w:p>
    <w:p w:rsidR="00FB5AB3" w:rsidRPr="00540996" w:rsidRDefault="00FB5AB3" w:rsidP="00F021E0">
      <w:pPr>
        <w:ind w:left="1440"/>
        <w:rPr>
          <w:rFonts w:ascii="Verdana" w:hAnsi="Verdana"/>
          <w:sz w:val="20"/>
          <w:szCs w:val="20"/>
          <w:lang w:val="tr-TR"/>
        </w:rPr>
      </w:pPr>
      <w:r w:rsidRPr="00540996">
        <w:rPr>
          <w:rFonts w:ascii="Verdana" w:hAnsi="Verdana"/>
          <w:sz w:val="20"/>
          <w:szCs w:val="20"/>
          <w:lang w:val="tr-TR"/>
        </w:rPr>
        <w:t>Dünya               634 USD</w:t>
      </w:r>
    </w:p>
    <w:p w:rsidR="00FB5AB3" w:rsidRPr="00540996" w:rsidRDefault="00FB5AB3" w:rsidP="00F021E0">
      <w:pPr>
        <w:ind w:left="1440"/>
        <w:rPr>
          <w:rFonts w:ascii="Verdana" w:hAnsi="Verdana"/>
          <w:sz w:val="20"/>
          <w:szCs w:val="20"/>
          <w:lang w:val="tr-TR"/>
        </w:rPr>
      </w:pPr>
      <w:r w:rsidRPr="00540996">
        <w:rPr>
          <w:rFonts w:ascii="Verdana" w:hAnsi="Verdana"/>
          <w:sz w:val="20"/>
          <w:szCs w:val="20"/>
          <w:lang w:val="tr-TR"/>
        </w:rPr>
        <w:t>OECD                3,015 USD</w:t>
      </w:r>
    </w:p>
    <w:p w:rsidR="00FB5AB3" w:rsidRPr="00540996" w:rsidRDefault="00FB5AB3" w:rsidP="00F021E0">
      <w:pPr>
        <w:ind w:left="1056"/>
        <w:rPr>
          <w:rFonts w:ascii="Verdana" w:hAnsi="Verdana"/>
          <w:sz w:val="20"/>
          <w:szCs w:val="20"/>
          <w:lang w:val="tr-TR"/>
        </w:rPr>
      </w:pPr>
    </w:p>
    <w:p w:rsidR="00AB6F2E" w:rsidRPr="00540996" w:rsidRDefault="00AB6F2E" w:rsidP="00AB6F2E">
      <w:pPr>
        <w:numPr>
          <w:ilvl w:val="0"/>
          <w:numId w:val="6"/>
        </w:numPr>
        <w:jc w:val="center"/>
        <w:rPr>
          <w:rFonts w:ascii="Verdana" w:hAnsi="Verdana" w:cs="Arial"/>
          <w:sz w:val="20"/>
          <w:szCs w:val="20"/>
          <w:lang w:val="tr-TR"/>
        </w:rPr>
      </w:pPr>
      <w:r w:rsidRPr="00540996">
        <w:rPr>
          <w:rFonts w:ascii="Verdana" w:hAnsi="Verdana" w:cs="Arial"/>
          <w:sz w:val="20"/>
          <w:szCs w:val="20"/>
          <w:lang w:val="tr-TR"/>
        </w:rPr>
        <w:t xml:space="preserve">2009 yılında </w:t>
      </w:r>
      <w:r w:rsidR="00CF2C6A" w:rsidRPr="00540996">
        <w:rPr>
          <w:rFonts w:ascii="Verdana" w:hAnsi="Verdana" w:cs="Arial"/>
          <w:sz w:val="20"/>
          <w:szCs w:val="20"/>
          <w:lang w:val="tr-TR"/>
        </w:rPr>
        <w:t>Türkiye’de</w:t>
      </w:r>
      <w:r w:rsidR="00447B90" w:rsidRPr="00540996">
        <w:rPr>
          <w:rFonts w:ascii="Verdana" w:hAnsi="Verdana" w:cs="Arial"/>
          <w:sz w:val="20"/>
          <w:szCs w:val="20"/>
          <w:lang w:val="tr-TR"/>
        </w:rPr>
        <w:t xml:space="preserve"> </w:t>
      </w:r>
      <w:r w:rsidR="00982812" w:rsidRPr="00540996">
        <w:rPr>
          <w:rFonts w:ascii="Verdana" w:hAnsi="Verdana" w:cs="Arial"/>
          <w:sz w:val="20"/>
          <w:szCs w:val="20"/>
          <w:lang w:val="tr-TR"/>
        </w:rPr>
        <w:t>elementer</w:t>
      </w:r>
      <w:r w:rsidRPr="00540996">
        <w:rPr>
          <w:rFonts w:ascii="Verdana" w:hAnsi="Verdana" w:cs="Arial"/>
          <w:sz w:val="20"/>
          <w:szCs w:val="20"/>
          <w:lang w:val="tr-TR"/>
        </w:rPr>
        <w:t xml:space="preserve"> </w:t>
      </w:r>
      <w:r w:rsidR="007E2C3F" w:rsidRPr="00540996">
        <w:rPr>
          <w:rFonts w:ascii="Verdana" w:hAnsi="Verdana" w:cs="Arial"/>
          <w:sz w:val="20"/>
          <w:szCs w:val="20"/>
          <w:lang w:val="tr-TR"/>
        </w:rPr>
        <w:t>sigorta sektörü</w:t>
      </w:r>
      <w:r w:rsidR="00796047" w:rsidRPr="00540996">
        <w:rPr>
          <w:rFonts w:ascii="Verdana" w:hAnsi="Verdana" w:cs="Arial"/>
          <w:sz w:val="20"/>
          <w:szCs w:val="20"/>
          <w:lang w:val="tr-TR"/>
        </w:rPr>
        <w:t xml:space="preserve"> </w:t>
      </w:r>
      <w:r w:rsidR="00A176A9" w:rsidRPr="00540996">
        <w:rPr>
          <w:rFonts w:ascii="Verdana" w:hAnsi="Verdana" w:cs="Arial"/>
          <w:sz w:val="20"/>
          <w:szCs w:val="20"/>
          <w:lang w:val="tr-TR"/>
        </w:rPr>
        <w:t>3</w:t>
      </w:r>
      <w:r w:rsidR="00C338AD" w:rsidRPr="00540996">
        <w:rPr>
          <w:rFonts w:ascii="Verdana" w:hAnsi="Verdana" w:cs="Arial"/>
          <w:sz w:val="20"/>
          <w:szCs w:val="20"/>
          <w:lang w:val="tr-TR"/>
        </w:rPr>
        <w:t>%</w:t>
      </w:r>
      <w:r w:rsidR="006D4307" w:rsidRPr="00540996">
        <w:rPr>
          <w:rFonts w:ascii="Verdana" w:hAnsi="Verdana" w:cs="Arial"/>
          <w:sz w:val="20"/>
          <w:szCs w:val="20"/>
          <w:lang w:val="tr-TR"/>
        </w:rPr>
        <w:t xml:space="preserve"> oranında büyümüştür</w:t>
      </w:r>
      <w:r w:rsidR="003B2E86" w:rsidRPr="00540996">
        <w:rPr>
          <w:rFonts w:ascii="Verdana" w:hAnsi="Verdana" w:cs="Arial"/>
          <w:sz w:val="20"/>
          <w:szCs w:val="20"/>
          <w:lang w:val="tr-TR"/>
        </w:rPr>
        <w:t>.</w:t>
      </w:r>
      <w:r w:rsidR="007E2C3F" w:rsidRPr="00540996">
        <w:rPr>
          <w:rFonts w:ascii="Verdana" w:hAnsi="Verdana" w:cs="Arial"/>
          <w:sz w:val="20"/>
          <w:szCs w:val="20"/>
          <w:lang w:val="tr-TR"/>
        </w:rPr>
        <w:t xml:space="preserve"> </w:t>
      </w:r>
    </w:p>
    <w:p w:rsidR="003B2E86" w:rsidRPr="00540996" w:rsidRDefault="003B2E86" w:rsidP="003B2E86">
      <w:pPr>
        <w:jc w:val="center"/>
        <w:rPr>
          <w:rFonts w:ascii="Verdana" w:hAnsi="Verdana" w:cs="Arial"/>
          <w:sz w:val="20"/>
          <w:szCs w:val="20"/>
          <w:lang w:val="tr-TR"/>
        </w:rPr>
      </w:pPr>
    </w:p>
    <w:p w:rsidR="00AB6F2E" w:rsidRPr="00540996" w:rsidRDefault="0044650E" w:rsidP="00AB6F2E">
      <w:pPr>
        <w:jc w:val="center"/>
        <w:rPr>
          <w:rFonts w:ascii="Verdana" w:hAnsi="Verdana" w:cs="Arial"/>
          <w:sz w:val="20"/>
          <w:szCs w:val="20"/>
          <w:lang w:val="tr-TR"/>
        </w:rPr>
      </w:pPr>
      <w:r w:rsidRPr="00540996">
        <w:rPr>
          <w:rFonts w:ascii="Verdana" w:hAnsi="Verdana" w:cs="Arial"/>
          <w:noProof/>
          <w:sz w:val="20"/>
          <w:szCs w:val="20"/>
          <w:lang w:val="tr-TR"/>
        </w:rPr>
        <w:drawing>
          <wp:inline distT="0" distB="0" distL="0" distR="0">
            <wp:extent cx="3042285" cy="2275840"/>
            <wp:effectExtent l="19050" t="19050" r="24765" b="1016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22758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F2E" w:rsidRPr="00540996" w:rsidRDefault="00AB6F2E" w:rsidP="00AB6F2E">
      <w:pPr>
        <w:rPr>
          <w:rFonts w:ascii="Verdana" w:hAnsi="Verdana" w:cs="Arial"/>
          <w:sz w:val="20"/>
          <w:szCs w:val="20"/>
          <w:lang w:val="tr-TR"/>
        </w:rPr>
      </w:pPr>
    </w:p>
    <w:p w:rsidR="00AB6F2E" w:rsidRPr="00540996" w:rsidRDefault="00AB6F2E" w:rsidP="00AB6F2E">
      <w:pPr>
        <w:rPr>
          <w:rFonts w:ascii="Verdana" w:hAnsi="Verdana" w:cs="Arial"/>
          <w:sz w:val="20"/>
          <w:szCs w:val="20"/>
          <w:lang w:val="tr-TR"/>
        </w:rPr>
      </w:pPr>
    </w:p>
    <w:p w:rsidR="003B2E86" w:rsidRPr="00540996" w:rsidRDefault="008B7CC3" w:rsidP="003B2E86">
      <w:pPr>
        <w:numPr>
          <w:ilvl w:val="0"/>
          <w:numId w:val="6"/>
        </w:numPr>
        <w:rPr>
          <w:rFonts w:ascii="Verdana" w:hAnsi="Verdana" w:cs="Arial"/>
          <w:sz w:val="20"/>
          <w:szCs w:val="20"/>
          <w:lang w:val="tr-TR"/>
        </w:rPr>
      </w:pPr>
      <w:r w:rsidRPr="00540996">
        <w:rPr>
          <w:rFonts w:ascii="Verdana" w:hAnsi="Verdana"/>
          <w:sz w:val="20"/>
          <w:szCs w:val="20"/>
          <w:lang w:val="tr-TR"/>
        </w:rPr>
        <w:t xml:space="preserve">Türkiye’de genç bir sektör olan </w:t>
      </w:r>
      <w:r w:rsidR="00CF2C6A" w:rsidRPr="00540996">
        <w:rPr>
          <w:rFonts w:ascii="Verdana" w:hAnsi="Verdana"/>
          <w:sz w:val="20"/>
          <w:szCs w:val="20"/>
          <w:lang w:val="tr-TR"/>
        </w:rPr>
        <w:t>Bireysel E</w:t>
      </w:r>
      <w:r w:rsidRPr="00540996">
        <w:rPr>
          <w:rFonts w:ascii="Verdana" w:hAnsi="Verdana"/>
          <w:sz w:val="20"/>
          <w:szCs w:val="20"/>
          <w:lang w:val="tr-TR"/>
        </w:rPr>
        <w:t xml:space="preserve">meklilik </w:t>
      </w:r>
      <w:r w:rsidR="00CF2C6A" w:rsidRPr="00540996">
        <w:rPr>
          <w:rFonts w:ascii="Verdana" w:hAnsi="Verdana"/>
          <w:sz w:val="20"/>
          <w:szCs w:val="20"/>
          <w:lang w:val="tr-TR"/>
        </w:rPr>
        <w:t>S</w:t>
      </w:r>
      <w:r w:rsidRPr="00540996">
        <w:rPr>
          <w:rFonts w:ascii="Verdana" w:hAnsi="Verdana"/>
          <w:sz w:val="20"/>
          <w:szCs w:val="20"/>
          <w:lang w:val="tr-TR"/>
        </w:rPr>
        <w:t xml:space="preserve">isteminin fon büyüklüğü </w:t>
      </w:r>
      <w:r w:rsidR="00CF2C6A" w:rsidRPr="00540996">
        <w:rPr>
          <w:rFonts w:ascii="Verdana" w:hAnsi="Verdana"/>
          <w:sz w:val="20"/>
          <w:szCs w:val="20"/>
          <w:lang w:val="tr-TR"/>
        </w:rPr>
        <w:t xml:space="preserve">kurulduğu </w:t>
      </w:r>
      <w:r w:rsidRPr="00540996">
        <w:rPr>
          <w:rFonts w:ascii="Verdana" w:hAnsi="Verdana"/>
          <w:sz w:val="20"/>
          <w:szCs w:val="20"/>
          <w:lang w:val="tr-TR"/>
        </w:rPr>
        <w:t xml:space="preserve">2003 </w:t>
      </w:r>
      <w:r w:rsidR="00CF2C6A" w:rsidRPr="00540996">
        <w:rPr>
          <w:rFonts w:ascii="Verdana" w:hAnsi="Verdana"/>
          <w:sz w:val="20"/>
          <w:szCs w:val="20"/>
          <w:lang w:val="tr-TR"/>
        </w:rPr>
        <w:t>yılından bugüne</w:t>
      </w:r>
      <w:r w:rsidRPr="00540996">
        <w:rPr>
          <w:rFonts w:ascii="Verdana" w:hAnsi="Verdana"/>
          <w:sz w:val="20"/>
          <w:szCs w:val="20"/>
          <w:lang w:val="tr-TR"/>
        </w:rPr>
        <w:t xml:space="preserve"> </w:t>
      </w:r>
      <w:r w:rsidR="00CF2C6A" w:rsidRPr="00540996">
        <w:rPr>
          <w:rFonts w:ascii="Verdana" w:hAnsi="Verdana"/>
          <w:sz w:val="20"/>
          <w:szCs w:val="20"/>
          <w:lang w:val="tr-TR"/>
        </w:rPr>
        <w:t>hızla büyüyerek</w:t>
      </w:r>
      <w:r w:rsidRPr="00540996">
        <w:rPr>
          <w:rFonts w:ascii="Verdana" w:hAnsi="Verdana"/>
          <w:sz w:val="20"/>
          <w:szCs w:val="20"/>
          <w:lang w:val="tr-TR"/>
        </w:rPr>
        <w:t xml:space="preserve"> 9 milyar TL </w:t>
      </w:r>
      <w:r w:rsidR="00CF2C6A" w:rsidRPr="00540996">
        <w:rPr>
          <w:rFonts w:ascii="Verdana" w:hAnsi="Verdana"/>
          <w:sz w:val="20"/>
          <w:szCs w:val="20"/>
          <w:lang w:val="tr-TR"/>
        </w:rPr>
        <w:t>seviyesine</w:t>
      </w:r>
      <w:r w:rsidRPr="00540996">
        <w:rPr>
          <w:rFonts w:ascii="Verdana" w:hAnsi="Verdana"/>
          <w:sz w:val="20"/>
          <w:szCs w:val="20"/>
          <w:lang w:val="tr-TR"/>
        </w:rPr>
        <w:t xml:space="preserve"> ulaşmıştır. </w:t>
      </w:r>
      <w:r w:rsidR="003B2E86" w:rsidRPr="00540996">
        <w:rPr>
          <w:rFonts w:ascii="Verdana" w:hAnsi="Verdana" w:cs="Arial"/>
          <w:sz w:val="20"/>
          <w:szCs w:val="20"/>
          <w:lang w:val="tr-TR"/>
        </w:rPr>
        <w:t xml:space="preserve">2009 yılında sektörün büyümesi </w:t>
      </w:r>
      <w:r w:rsidR="00AE38D6" w:rsidRPr="00540996">
        <w:rPr>
          <w:rFonts w:ascii="Verdana" w:hAnsi="Verdana" w:cs="Arial"/>
          <w:sz w:val="20"/>
          <w:szCs w:val="20"/>
          <w:lang w:val="tr-TR"/>
        </w:rPr>
        <w:t>40</w:t>
      </w:r>
      <w:r w:rsidR="003B2E86" w:rsidRPr="00540996">
        <w:rPr>
          <w:rFonts w:ascii="Verdana" w:hAnsi="Verdana" w:cs="Arial"/>
          <w:sz w:val="20"/>
          <w:szCs w:val="20"/>
          <w:lang w:val="tr-TR"/>
        </w:rPr>
        <w:t>% olmuştur.</w:t>
      </w:r>
    </w:p>
    <w:p w:rsidR="008B7CC3" w:rsidRPr="00540996" w:rsidRDefault="008B7CC3" w:rsidP="008B7CC3">
      <w:pPr>
        <w:ind w:left="360"/>
        <w:rPr>
          <w:rFonts w:ascii="Verdana" w:hAnsi="Verdana"/>
          <w:sz w:val="20"/>
          <w:szCs w:val="20"/>
          <w:lang w:val="tr-TR"/>
        </w:rPr>
      </w:pPr>
    </w:p>
    <w:p w:rsidR="00AE38D6" w:rsidRPr="00540996" w:rsidRDefault="00AE38D6" w:rsidP="00AE38D6">
      <w:pPr>
        <w:pStyle w:val="ListeParagraf1"/>
        <w:ind w:left="360"/>
        <w:rPr>
          <w:rFonts w:ascii="Verdana" w:eastAsia="Times New Roman" w:hAnsi="Verdana" w:cs="Arial"/>
          <w:b/>
          <w:sz w:val="20"/>
          <w:szCs w:val="20"/>
        </w:rPr>
      </w:pPr>
      <w:r w:rsidRPr="00540996">
        <w:rPr>
          <w:rFonts w:ascii="Verdana" w:eastAsia="Times New Roman" w:hAnsi="Verdana" w:cs="Arial"/>
          <w:b/>
          <w:sz w:val="20"/>
          <w:szCs w:val="20"/>
        </w:rPr>
        <w:t>2010 yılında elementer tarafın ekonomiye paralel olarak % 5-6 büyümesi, emeklilik tarafının ise %25-30 büyümesi beklenmektedir.</w:t>
      </w:r>
    </w:p>
    <w:p w:rsidR="00AE38D6" w:rsidRPr="00540996" w:rsidRDefault="00AE38D6" w:rsidP="008B7CC3">
      <w:pPr>
        <w:ind w:left="360"/>
        <w:rPr>
          <w:rFonts w:ascii="Verdana" w:hAnsi="Verdana"/>
          <w:sz w:val="20"/>
          <w:szCs w:val="20"/>
          <w:lang w:val="tr-TR"/>
        </w:rPr>
      </w:pPr>
    </w:p>
    <w:p w:rsidR="00AB6F2E" w:rsidRPr="00540996" w:rsidRDefault="00831CC3" w:rsidP="00F021E0">
      <w:pPr>
        <w:numPr>
          <w:ilvl w:val="0"/>
          <w:numId w:val="6"/>
        </w:numPr>
        <w:rPr>
          <w:rFonts w:ascii="Verdana" w:hAnsi="Verdana" w:cs="Arial"/>
          <w:sz w:val="20"/>
          <w:szCs w:val="20"/>
          <w:lang w:val="tr-TR"/>
        </w:rPr>
      </w:pPr>
      <w:r w:rsidRPr="00540996">
        <w:rPr>
          <w:rFonts w:ascii="Verdana" w:hAnsi="Verdana" w:cs="Arial"/>
          <w:sz w:val="20"/>
          <w:szCs w:val="20"/>
          <w:lang w:val="tr-TR"/>
        </w:rPr>
        <w:t xml:space="preserve">2009 itibariyle Türkiye’de, </w:t>
      </w:r>
      <w:r w:rsidR="002A5334" w:rsidRPr="00540996">
        <w:rPr>
          <w:rFonts w:ascii="Verdana" w:hAnsi="Verdana" w:cs="Arial"/>
          <w:sz w:val="20"/>
          <w:szCs w:val="20"/>
          <w:lang w:val="tr-TR"/>
        </w:rPr>
        <w:t>33</w:t>
      </w:r>
      <w:r w:rsidR="00FB5AB3" w:rsidRPr="00540996">
        <w:rPr>
          <w:rFonts w:ascii="Verdana" w:hAnsi="Verdana" w:cs="Arial"/>
          <w:sz w:val="20"/>
          <w:szCs w:val="20"/>
          <w:lang w:val="tr-TR"/>
        </w:rPr>
        <w:t xml:space="preserve"> </w:t>
      </w:r>
      <w:r w:rsidR="003B2E86" w:rsidRPr="00540996">
        <w:rPr>
          <w:rFonts w:ascii="Verdana" w:hAnsi="Verdana" w:cs="Arial"/>
          <w:sz w:val="20"/>
          <w:szCs w:val="20"/>
          <w:lang w:val="tr-TR"/>
        </w:rPr>
        <w:t>e</w:t>
      </w:r>
      <w:r w:rsidR="007F7DCA" w:rsidRPr="00540996">
        <w:rPr>
          <w:rFonts w:ascii="Verdana" w:hAnsi="Verdana" w:cs="Arial"/>
          <w:sz w:val="20"/>
          <w:szCs w:val="20"/>
          <w:lang w:val="tr-TR"/>
        </w:rPr>
        <w:t>lementer</w:t>
      </w:r>
      <w:r w:rsidR="00FB5AB3" w:rsidRPr="00540996">
        <w:rPr>
          <w:rFonts w:ascii="Verdana" w:hAnsi="Verdana" w:cs="Arial"/>
          <w:sz w:val="20"/>
          <w:szCs w:val="20"/>
          <w:lang w:val="tr-TR"/>
        </w:rPr>
        <w:t xml:space="preserve">, </w:t>
      </w:r>
      <w:r w:rsidR="003B2E86" w:rsidRPr="00540996">
        <w:rPr>
          <w:rFonts w:ascii="Verdana" w:hAnsi="Verdana" w:cs="Arial"/>
          <w:sz w:val="20"/>
          <w:szCs w:val="20"/>
          <w:lang w:val="tr-TR"/>
        </w:rPr>
        <w:t>12 tanede de emeklilik lisansı olan şirket bulunmaktadır.</w:t>
      </w:r>
      <w:r w:rsidR="00BC7404" w:rsidRPr="00540996">
        <w:rPr>
          <w:rFonts w:ascii="Verdana" w:hAnsi="Verdana" w:cs="Arial"/>
          <w:sz w:val="20"/>
          <w:szCs w:val="20"/>
          <w:lang w:val="tr-TR"/>
        </w:rPr>
        <w:t xml:space="preserve"> </w:t>
      </w:r>
      <w:r w:rsidRPr="00540996">
        <w:rPr>
          <w:rFonts w:ascii="Verdana" w:hAnsi="Verdana" w:cs="Arial"/>
          <w:sz w:val="20"/>
          <w:szCs w:val="20"/>
          <w:lang w:val="tr-TR"/>
        </w:rPr>
        <w:t>Bu</w:t>
      </w:r>
      <w:r w:rsidR="00BC7404" w:rsidRPr="00540996">
        <w:rPr>
          <w:rFonts w:ascii="Verdana" w:hAnsi="Verdana" w:cs="Arial"/>
          <w:sz w:val="20"/>
          <w:szCs w:val="20"/>
          <w:lang w:val="tr-TR"/>
        </w:rPr>
        <w:t xml:space="preserve"> şirketlerin yarısı yaban</w:t>
      </w:r>
      <w:r w:rsidR="00FB5AB3" w:rsidRPr="00540996">
        <w:rPr>
          <w:rFonts w:ascii="Verdana" w:hAnsi="Verdana" w:cs="Arial"/>
          <w:sz w:val="20"/>
          <w:szCs w:val="20"/>
          <w:lang w:val="tr-TR"/>
        </w:rPr>
        <w:t xml:space="preserve">cı </w:t>
      </w:r>
      <w:r w:rsidRPr="00540996">
        <w:rPr>
          <w:rFonts w:ascii="Verdana" w:hAnsi="Verdana" w:cs="Arial"/>
          <w:sz w:val="20"/>
          <w:szCs w:val="20"/>
          <w:lang w:val="tr-TR"/>
        </w:rPr>
        <w:t>sermayeli</w:t>
      </w:r>
      <w:r w:rsidR="00BC7404" w:rsidRPr="00540996">
        <w:rPr>
          <w:rFonts w:ascii="Verdana" w:hAnsi="Verdana" w:cs="Arial"/>
          <w:sz w:val="20"/>
          <w:szCs w:val="20"/>
          <w:lang w:val="tr-TR"/>
        </w:rPr>
        <w:t>dir.</w:t>
      </w:r>
    </w:p>
    <w:p w:rsidR="00BC7404" w:rsidRPr="00540996" w:rsidRDefault="00BC7404" w:rsidP="00BC7404">
      <w:pPr>
        <w:rPr>
          <w:rFonts w:ascii="Verdana" w:hAnsi="Verdana" w:cs="Arial"/>
          <w:sz w:val="20"/>
          <w:szCs w:val="20"/>
          <w:lang w:val="tr-TR"/>
        </w:rPr>
      </w:pPr>
    </w:p>
    <w:p w:rsidR="00FB5AB3" w:rsidRPr="00540996" w:rsidRDefault="007F7DCA" w:rsidP="00F021E0">
      <w:pPr>
        <w:numPr>
          <w:ilvl w:val="0"/>
          <w:numId w:val="6"/>
        </w:numPr>
        <w:rPr>
          <w:rFonts w:ascii="Verdana" w:hAnsi="Verdana" w:cs="Arial"/>
          <w:sz w:val="20"/>
          <w:szCs w:val="20"/>
          <w:lang w:val="tr-TR"/>
        </w:rPr>
      </w:pPr>
      <w:r w:rsidRPr="00540996">
        <w:rPr>
          <w:rFonts w:ascii="Verdana" w:hAnsi="Verdana" w:cs="Arial"/>
          <w:sz w:val="20"/>
          <w:szCs w:val="20"/>
          <w:lang w:val="tr-TR"/>
        </w:rPr>
        <w:t>Elementer</w:t>
      </w:r>
      <w:r w:rsidR="007306B3" w:rsidRPr="00540996">
        <w:rPr>
          <w:rFonts w:ascii="Verdana" w:hAnsi="Verdana" w:cs="Arial"/>
          <w:sz w:val="20"/>
          <w:szCs w:val="20"/>
          <w:lang w:val="tr-TR"/>
        </w:rPr>
        <w:t xml:space="preserve"> </w:t>
      </w:r>
      <w:r w:rsidRPr="00540996">
        <w:rPr>
          <w:rFonts w:ascii="Verdana" w:hAnsi="Verdana" w:cs="Arial"/>
          <w:sz w:val="20"/>
          <w:szCs w:val="20"/>
          <w:lang w:val="tr-TR"/>
        </w:rPr>
        <w:t>sigortad</w:t>
      </w:r>
      <w:r w:rsidR="007306B3" w:rsidRPr="00540996">
        <w:rPr>
          <w:rFonts w:ascii="Verdana" w:hAnsi="Verdana" w:cs="Arial"/>
          <w:sz w:val="20"/>
          <w:szCs w:val="20"/>
          <w:lang w:val="tr-TR"/>
        </w:rPr>
        <w:t>aki</w:t>
      </w:r>
      <w:r w:rsidR="00FB5AB3" w:rsidRPr="00540996">
        <w:rPr>
          <w:rFonts w:ascii="Verdana" w:hAnsi="Verdana" w:cs="Arial"/>
          <w:sz w:val="20"/>
          <w:szCs w:val="20"/>
          <w:lang w:val="tr-TR"/>
        </w:rPr>
        <w:t xml:space="preserve"> ilk 5 şirket pazarın %50’sine</w:t>
      </w:r>
      <w:r w:rsidR="007306B3" w:rsidRPr="00540996">
        <w:rPr>
          <w:rFonts w:ascii="Verdana" w:hAnsi="Verdana" w:cs="Arial"/>
          <w:sz w:val="20"/>
          <w:szCs w:val="20"/>
          <w:lang w:val="tr-TR"/>
        </w:rPr>
        <w:t xml:space="preserve">, Bireysel Emeklilik </w:t>
      </w:r>
      <w:r w:rsidR="00FB5AB3" w:rsidRPr="00540996">
        <w:rPr>
          <w:rFonts w:ascii="Verdana" w:hAnsi="Verdana" w:cs="Arial"/>
          <w:sz w:val="20"/>
          <w:szCs w:val="20"/>
          <w:lang w:val="tr-TR"/>
        </w:rPr>
        <w:t xml:space="preserve">alanındaki ilk 5 şirket </w:t>
      </w:r>
      <w:r w:rsidR="007306B3" w:rsidRPr="00540996">
        <w:rPr>
          <w:rFonts w:ascii="Verdana" w:hAnsi="Verdana" w:cs="Arial"/>
          <w:sz w:val="20"/>
          <w:szCs w:val="20"/>
          <w:lang w:val="tr-TR"/>
        </w:rPr>
        <w:t xml:space="preserve">ise </w:t>
      </w:r>
      <w:r w:rsidR="00FB5AB3" w:rsidRPr="00540996">
        <w:rPr>
          <w:rFonts w:ascii="Verdana" w:hAnsi="Verdana" w:cs="Arial"/>
          <w:sz w:val="20"/>
          <w:szCs w:val="20"/>
          <w:lang w:val="tr-TR"/>
        </w:rPr>
        <w:t>pazarın %79’una sahiptir.</w:t>
      </w:r>
      <w:r w:rsidR="00BC7404" w:rsidRPr="00540996">
        <w:rPr>
          <w:rFonts w:ascii="Verdana" w:hAnsi="Verdana" w:cs="Arial"/>
          <w:sz w:val="20"/>
          <w:szCs w:val="20"/>
          <w:lang w:val="tr-TR"/>
        </w:rPr>
        <w:t xml:space="preserve"> BES sektöründe 2010 senesinde 5 yeni şirketin daha lisans alması beklenmektedir.</w:t>
      </w:r>
    </w:p>
    <w:p w:rsidR="00FB5AB3" w:rsidRPr="00540996" w:rsidRDefault="00FB5AB3" w:rsidP="00F021E0">
      <w:pPr>
        <w:rPr>
          <w:rFonts w:ascii="Verdana" w:hAnsi="Verdana" w:cs="Arial"/>
          <w:sz w:val="20"/>
          <w:szCs w:val="20"/>
          <w:lang w:val="tr-TR"/>
        </w:rPr>
      </w:pPr>
      <w:r w:rsidRPr="00540996">
        <w:rPr>
          <w:rFonts w:ascii="Verdana" w:hAnsi="Verdana" w:cs="Arial"/>
          <w:sz w:val="20"/>
          <w:szCs w:val="20"/>
          <w:lang w:val="tr-TR"/>
        </w:rPr>
        <w:t xml:space="preserve"> </w:t>
      </w:r>
    </w:p>
    <w:p w:rsidR="00854A80" w:rsidRPr="00540996" w:rsidRDefault="0044650E" w:rsidP="00734886">
      <w:pPr>
        <w:jc w:val="center"/>
        <w:rPr>
          <w:rFonts w:ascii="Verdana" w:hAnsi="Verdana" w:cs="Arial"/>
          <w:sz w:val="20"/>
          <w:szCs w:val="20"/>
          <w:lang w:val="tr-TR"/>
        </w:rPr>
      </w:pPr>
      <w:r w:rsidRPr="00540996">
        <w:rPr>
          <w:rFonts w:ascii="Verdana" w:hAnsi="Verdana" w:cs="Arial"/>
          <w:noProof/>
          <w:sz w:val="20"/>
          <w:szCs w:val="20"/>
          <w:lang w:val="tr-TR"/>
        </w:rPr>
        <w:drawing>
          <wp:inline distT="0" distB="0" distL="0" distR="0">
            <wp:extent cx="2505075" cy="1876425"/>
            <wp:effectExtent l="19050" t="0" r="9525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40996">
        <w:rPr>
          <w:rFonts w:ascii="Verdana" w:hAnsi="Verdana" w:cs="Arial"/>
          <w:noProof/>
          <w:sz w:val="20"/>
          <w:szCs w:val="20"/>
          <w:lang w:val="tr-TR"/>
        </w:rPr>
        <w:drawing>
          <wp:inline distT="0" distB="0" distL="0" distR="0">
            <wp:extent cx="2552700" cy="1914525"/>
            <wp:effectExtent l="1905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4A80" w:rsidRPr="00540996" w:rsidRDefault="00854A80" w:rsidP="003D2CB1">
      <w:pPr>
        <w:rPr>
          <w:rFonts w:ascii="Verdana" w:hAnsi="Verdana" w:cs="Arial"/>
          <w:sz w:val="20"/>
          <w:szCs w:val="20"/>
          <w:lang w:val="tr-TR"/>
        </w:rPr>
      </w:pPr>
    </w:p>
    <w:p w:rsidR="00734886" w:rsidRPr="00540996" w:rsidRDefault="00734886" w:rsidP="00734886">
      <w:pPr>
        <w:rPr>
          <w:rFonts w:ascii="Verdana" w:hAnsi="Verdana"/>
          <w:sz w:val="20"/>
          <w:szCs w:val="20"/>
          <w:lang w:val="tr-TR"/>
        </w:rPr>
      </w:pPr>
    </w:p>
    <w:p w:rsidR="009822A8" w:rsidRPr="00540996" w:rsidRDefault="003D2CB1" w:rsidP="009822A8">
      <w:pPr>
        <w:numPr>
          <w:ilvl w:val="0"/>
          <w:numId w:val="8"/>
        </w:numPr>
        <w:ind w:left="426" w:hanging="426"/>
        <w:rPr>
          <w:rFonts w:ascii="Verdana" w:hAnsi="Verdana"/>
          <w:sz w:val="20"/>
          <w:szCs w:val="20"/>
          <w:lang w:val="tr-TR"/>
        </w:rPr>
      </w:pPr>
      <w:r w:rsidRPr="00540996">
        <w:rPr>
          <w:rFonts w:ascii="Verdana" w:hAnsi="Verdana" w:cs="Arial"/>
          <w:sz w:val="20"/>
          <w:szCs w:val="20"/>
          <w:lang w:val="tr-TR"/>
        </w:rPr>
        <w:t xml:space="preserve">Kriz öncesi 2006-2008 </w:t>
      </w:r>
      <w:r w:rsidR="007306B3" w:rsidRPr="00540996">
        <w:rPr>
          <w:rFonts w:ascii="Verdana" w:hAnsi="Verdana" w:cs="Arial"/>
          <w:sz w:val="20"/>
          <w:szCs w:val="20"/>
          <w:lang w:val="tr-TR"/>
        </w:rPr>
        <w:t>döneminde,</w:t>
      </w:r>
      <w:r w:rsidRPr="00540996">
        <w:rPr>
          <w:rFonts w:ascii="Verdana" w:hAnsi="Verdana" w:cs="Arial"/>
          <w:sz w:val="20"/>
          <w:szCs w:val="20"/>
          <w:lang w:val="tr-TR"/>
        </w:rPr>
        <w:t xml:space="preserve"> 13 yabancı sigorta şirketi Türkiye </w:t>
      </w:r>
      <w:r w:rsidR="007306B3" w:rsidRPr="00540996">
        <w:rPr>
          <w:rFonts w:ascii="Verdana" w:hAnsi="Verdana" w:cs="Arial"/>
          <w:sz w:val="20"/>
          <w:szCs w:val="20"/>
          <w:lang w:val="tr-TR"/>
        </w:rPr>
        <w:t xml:space="preserve">pazarına, </w:t>
      </w:r>
      <w:r w:rsidRPr="00540996">
        <w:rPr>
          <w:rFonts w:ascii="Verdana" w:hAnsi="Verdana" w:cs="Arial"/>
          <w:sz w:val="20"/>
          <w:szCs w:val="20"/>
          <w:lang w:val="tr-TR"/>
        </w:rPr>
        <w:t>satın alma veya ye</w:t>
      </w:r>
      <w:r w:rsidR="007306B3" w:rsidRPr="00540996">
        <w:rPr>
          <w:rFonts w:ascii="Verdana" w:hAnsi="Verdana" w:cs="Arial"/>
          <w:sz w:val="20"/>
          <w:szCs w:val="20"/>
          <w:lang w:val="tr-TR"/>
        </w:rPr>
        <w:t>ni şirket kurma yoluyla,</w:t>
      </w:r>
      <w:r w:rsidRPr="00540996">
        <w:rPr>
          <w:rFonts w:ascii="Verdana" w:hAnsi="Verdana" w:cs="Arial"/>
          <w:sz w:val="20"/>
          <w:szCs w:val="20"/>
          <w:lang w:val="tr-TR"/>
        </w:rPr>
        <w:t xml:space="preserve"> girmiştir; </w:t>
      </w:r>
      <w:r w:rsidR="007306B3" w:rsidRPr="00540996">
        <w:rPr>
          <w:rFonts w:ascii="Verdana" w:hAnsi="Verdana" w:cs="Arial"/>
          <w:sz w:val="20"/>
          <w:szCs w:val="20"/>
          <w:lang w:val="tr-TR"/>
        </w:rPr>
        <w:t>mevcutlar arasından</w:t>
      </w:r>
      <w:r w:rsidRPr="00540996">
        <w:rPr>
          <w:rFonts w:ascii="Verdana" w:hAnsi="Verdana" w:cs="Arial"/>
          <w:sz w:val="20"/>
          <w:szCs w:val="20"/>
          <w:lang w:val="tr-TR"/>
        </w:rPr>
        <w:t xml:space="preserve"> 2 büyük yabancı oyuncu ise yerli ortakların</w:t>
      </w:r>
      <w:r w:rsidR="007306B3" w:rsidRPr="00540996">
        <w:rPr>
          <w:rFonts w:ascii="Verdana" w:hAnsi="Verdana" w:cs="Arial"/>
          <w:sz w:val="20"/>
          <w:szCs w:val="20"/>
          <w:lang w:val="tr-TR"/>
        </w:rPr>
        <w:t>ın</w:t>
      </w:r>
      <w:r w:rsidRPr="00540996">
        <w:rPr>
          <w:rFonts w:ascii="Verdana" w:hAnsi="Verdana" w:cs="Arial"/>
          <w:sz w:val="20"/>
          <w:szCs w:val="20"/>
          <w:lang w:val="tr-TR"/>
        </w:rPr>
        <w:t xml:space="preserve"> paylarını </w:t>
      </w:r>
      <w:r w:rsidR="007306B3" w:rsidRPr="00540996">
        <w:rPr>
          <w:rFonts w:ascii="Verdana" w:hAnsi="Verdana" w:cs="Arial"/>
          <w:sz w:val="20"/>
          <w:szCs w:val="20"/>
          <w:lang w:val="tr-TR"/>
        </w:rPr>
        <w:t xml:space="preserve">satın </w:t>
      </w:r>
      <w:r w:rsidRPr="00540996">
        <w:rPr>
          <w:rFonts w:ascii="Verdana" w:hAnsi="Verdana" w:cs="Arial"/>
          <w:sz w:val="20"/>
          <w:szCs w:val="20"/>
          <w:lang w:val="tr-TR"/>
        </w:rPr>
        <w:t>almıştır.</w:t>
      </w:r>
      <w:r w:rsidR="009822A8" w:rsidRPr="00540996">
        <w:rPr>
          <w:rFonts w:ascii="Verdana" w:hAnsi="Verdana"/>
          <w:sz w:val="20"/>
          <w:szCs w:val="20"/>
          <w:lang w:val="tr-TR"/>
        </w:rPr>
        <w:t xml:space="preserve"> </w:t>
      </w:r>
    </w:p>
    <w:p w:rsidR="009822A8" w:rsidRPr="00540996" w:rsidRDefault="009822A8" w:rsidP="009822A8">
      <w:pPr>
        <w:rPr>
          <w:rFonts w:ascii="Verdana" w:hAnsi="Verdana"/>
          <w:sz w:val="20"/>
          <w:szCs w:val="20"/>
          <w:lang w:val="tr-TR"/>
        </w:rPr>
      </w:pPr>
    </w:p>
    <w:p w:rsidR="009607CD" w:rsidRPr="00540996" w:rsidRDefault="002A5334" w:rsidP="009607CD">
      <w:pPr>
        <w:numPr>
          <w:ilvl w:val="0"/>
          <w:numId w:val="8"/>
        </w:numPr>
        <w:ind w:left="426" w:hanging="426"/>
        <w:rPr>
          <w:rFonts w:ascii="Verdana" w:hAnsi="Verdana" w:cs="Arial"/>
          <w:sz w:val="20"/>
          <w:szCs w:val="20"/>
          <w:lang w:val="tr-TR"/>
        </w:rPr>
      </w:pPr>
      <w:r w:rsidRPr="00540996">
        <w:rPr>
          <w:rFonts w:ascii="Verdana" w:hAnsi="Verdana" w:cs="Arial"/>
          <w:sz w:val="20"/>
          <w:szCs w:val="20"/>
          <w:lang w:val="tr-TR"/>
        </w:rPr>
        <w:t>33</w:t>
      </w:r>
      <w:r w:rsidR="007306B3" w:rsidRPr="00540996">
        <w:rPr>
          <w:rFonts w:ascii="Verdana" w:hAnsi="Verdana" w:cs="Arial"/>
          <w:sz w:val="20"/>
          <w:szCs w:val="20"/>
          <w:lang w:val="tr-TR"/>
        </w:rPr>
        <w:t xml:space="preserve"> şirketin faaliyet gösterdiği </w:t>
      </w:r>
      <w:r w:rsidR="00BC7404" w:rsidRPr="00540996">
        <w:rPr>
          <w:rFonts w:ascii="Verdana" w:hAnsi="Verdana" w:cs="Arial"/>
          <w:sz w:val="20"/>
          <w:szCs w:val="20"/>
          <w:lang w:val="tr-TR"/>
        </w:rPr>
        <w:t>e</w:t>
      </w:r>
      <w:r w:rsidR="007F7DCA" w:rsidRPr="00540996">
        <w:rPr>
          <w:rFonts w:ascii="Verdana" w:hAnsi="Verdana" w:cs="Arial"/>
          <w:sz w:val="20"/>
          <w:szCs w:val="20"/>
          <w:lang w:val="tr-TR"/>
        </w:rPr>
        <w:t>lementer</w:t>
      </w:r>
      <w:r w:rsidR="007306B3" w:rsidRPr="00540996">
        <w:rPr>
          <w:rFonts w:ascii="Verdana" w:hAnsi="Verdana" w:cs="Arial"/>
          <w:sz w:val="20"/>
          <w:szCs w:val="20"/>
          <w:lang w:val="tr-TR"/>
        </w:rPr>
        <w:t xml:space="preserve"> </w:t>
      </w:r>
      <w:r w:rsidR="007F7DCA" w:rsidRPr="00540996">
        <w:rPr>
          <w:rFonts w:ascii="Verdana" w:hAnsi="Verdana" w:cs="Arial"/>
          <w:sz w:val="20"/>
          <w:szCs w:val="20"/>
          <w:lang w:val="tr-TR"/>
        </w:rPr>
        <w:t>sigorta</w:t>
      </w:r>
      <w:r w:rsidR="007306B3" w:rsidRPr="00540996">
        <w:rPr>
          <w:rFonts w:ascii="Verdana" w:hAnsi="Verdana" w:cs="Arial"/>
          <w:sz w:val="20"/>
          <w:szCs w:val="20"/>
          <w:lang w:val="tr-TR"/>
        </w:rPr>
        <w:t xml:space="preserve"> pazarı</w:t>
      </w:r>
      <w:r w:rsidR="009822A8" w:rsidRPr="00540996">
        <w:rPr>
          <w:rFonts w:ascii="Verdana" w:hAnsi="Verdana" w:cs="Arial"/>
          <w:sz w:val="20"/>
          <w:szCs w:val="20"/>
          <w:lang w:val="tr-TR"/>
        </w:rPr>
        <w:t xml:space="preserve">nda, </w:t>
      </w:r>
      <w:r w:rsidR="000C3890" w:rsidRPr="00540996">
        <w:rPr>
          <w:rFonts w:ascii="Verdana" w:hAnsi="Verdana" w:cs="Arial"/>
          <w:sz w:val="20"/>
          <w:szCs w:val="20"/>
          <w:lang w:val="tr-TR"/>
        </w:rPr>
        <w:t>genişleyen “fiyat deregülasyonü” ortamında</w:t>
      </w:r>
      <w:r w:rsidR="009822A8" w:rsidRPr="00540996">
        <w:rPr>
          <w:rFonts w:ascii="Verdana" w:hAnsi="Verdana" w:cs="Arial"/>
          <w:sz w:val="20"/>
          <w:szCs w:val="20"/>
          <w:lang w:val="tr-TR"/>
        </w:rPr>
        <w:t xml:space="preserve"> </w:t>
      </w:r>
      <w:r w:rsidR="000C3890" w:rsidRPr="00540996">
        <w:rPr>
          <w:rFonts w:ascii="Verdana" w:hAnsi="Verdana" w:cs="Arial"/>
          <w:sz w:val="20"/>
          <w:szCs w:val="20"/>
          <w:lang w:val="tr-TR"/>
        </w:rPr>
        <w:t xml:space="preserve">malesef </w:t>
      </w:r>
      <w:r w:rsidR="009822A8" w:rsidRPr="00540996">
        <w:rPr>
          <w:rFonts w:ascii="Verdana" w:hAnsi="Verdana" w:cs="Arial"/>
          <w:sz w:val="20"/>
          <w:szCs w:val="20"/>
          <w:lang w:val="tr-TR"/>
        </w:rPr>
        <w:t>yıkıcı rekabet arta</w:t>
      </w:r>
      <w:r w:rsidR="000C3890" w:rsidRPr="00540996">
        <w:rPr>
          <w:rFonts w:ascii="Verdana" w:hAnsi="Verdana" w:cs="Arial"/>
          <w:sz w:val="20"/>
          <w:szCs w:val="20"/>
          <w:lang w:val="tr-TR"/>
        </w:rPr>
        <w:t>rak sürm</w:t>
      </w:r>
      <w:r w:rsidR="009822A8" w:rsidRPr="00540996">
        <w:rPr>
          <w:rFonts w:ascii="Verdana" w:hAnsi="Verdana" w:cs="Arial"/>
          <w:sz w:val="20"/>
          <w:szCs w:val="20"/>
          <w:lang w:val="tr-TR"/>
        </w:rPr>
        <w:t>ektedir</w:t>
      </w:r>
      <w:r w:rsidR="00FB1E52" w:rsidRPr="00540996">
        <w:rPr>
          <w:rFonts w:ascii="Verdana" w:hAnsi="Verdana" w:cs="Arial"/>
          <w:sz w:val="20"/>
          <w:szCs w:val="20"/>
          <w:lang w:val="tr-TR"/>
        </w:rPr>
        <w:t>.</w:t>
      </w:r>
      <w:r w:rsidR="00BC7404" w:rsidRPr="00540996">
        <w:rPr>
          <w:rFonts w:ascii="Verdana" w:hAnsi="Verdana" w:cs="Arial"/>
          <w:sz w:val="20"/>
          <w:szCs w:val="20"/>
          <w:lang w:val="tr-TR"/>
        </w:rPr>
        <w:t xml:space="preserve"> </w:t>
      </w:r>
    </w:p>
    <w:p w:rsidR="00BC7404" w:rsidRPr="00540996" w:rsidRDefault="00BC7404" w:rsidP="00BC7404">
      <w:pPr>
        <w:rPr>
          <w:rFonts w:ascii="Verdana" w:hAnsi="Verdana" w:cs="Arial"/>
          <w:sz w:val="20"/>
          <w:szCs w:val="20"/>
          <w:lang w:val="tr-TR"/>
        </w:rPr>
      </w:pPr>
    </w:p>
    <w:p w:rsidR="009607CD" w:rsidRPr="00540996" w:rsidRDefault="007F7DCA" w:rsidP="009822A8">
      <w:pPr>
        <w:numPr>
          <w:ilvl w:val="0"/>
          <w:numId w:val="8"/>
        </w:numPr>
        <w:ind w:left="426" w:hanging="426"/>
        <w:rPr>
          <w:rFonts w:ascii="Verdana" w:hAnsi="Verdana"/>
          <w:sz w:val="20"/>
          <w:szCs w:val="20"/>
          <w:lang w:val="tr-TR"/>
        </w:rPr>
      </w:pPr>
      <w:r w:rsidRPr="00540996">
        <w:rPr>
          <w:rFonts w:ascii="Verdana" w:hAnsi="Verdana"/>
          <w:sz w:val="20"/>
          <w:szCs w:val="20"/>
          <w:lang w:val="tr-TR"/>
        </w:rPr>
        <w:t>Elementer</w:t>
      </w:r>
      <w:r w:rsidR="009607CD" w:rsidRPr="00540996">
        <w:rPr>
          <w:rFonts w:ascii="Verdana" w:hAnsi="Verdana"/>
          <w:sz w:val="20"/>
          <w:szCs w:val="20"/>
          <w:lang w:val="tr-TR"/>
        </w:rPr>
        <w:t xml:space="preserve"> sigorta </w:t>
      </w:r>
      <w:r w:rsidR="000C3890" w:rsidRPr="00540996">
        <w:rPr>
          <w:rFonts w:ascii="Verdana" w:hAnsi="Verdana"/>
          <w:sz w:val="20"/>
          <w:szCs w:val="20"/>
          <w:lang w:val="tr-TR"/>
        </w:rPr>
        <w:t>pazarının</w:t>
      </w:r>
      <w:r w:rsidR="009607CD" w:rsidRPr="00540996">
        <w:rPr>
          <w:rFonts w:ascii="Verdana" w:hAnsi="Verdana"/>
          <w:sz w:val="20"/>
          <w:szCs w:val="20"/>
          <w:lang w:val="tr-TR"/>
        </w:rPr>
        <w:t xml:space="preserve"> </w:t>
      </w:r>
      <w:r w:rsidR="000C3890" w:rsidRPr="00540996">
        <w:rPr>
          <w:rFonts w:ascii="Verdana" w:hAnsi="Verdana"/>
          <w:sz w:val="20"/>
          <w:szCs w:val="20"/>
          <w:lang w:val="tr-TR"/>
        </w:rPr>
        <w:t xml:space="preserve">% </w:t>
      </w:r>
      <w:r w:rsidR="009607CD" w:rsidRPr="00540996">
        <w:rPr>
          <w:rFonts w:ascii="Verdana" w:hAnsi="Verdana"/>
          <w:sz w:val="20"/>
          <w:szCs w:val="20"/>
          <w:lang w:val="tr-TR"/>
        </w:rPr>
        <w:t>56</w:t>
      </w:r>
      <w:r w:rsidR="000C3890" w:rsidRPr="00540996">
        <w:rPr>
          <w:rFonts w:ascii="Verdana" w:hAnsi="Verdana"/>
          <w:sz w:val="20"/>
          <w:szCs w:val="20"/>
          <w:lang w:val="tr-TR"/>
        </w:rPr>
        <w:t>’</w:t>
      </w:r>
      <w:r w:rsidR="009607CD" w:rsidRPr="00540996">
        <w:rPr>
          <w:rFonts w:ascii="Verdana" w:hAnsi="Verdana"/>
          <w:sz w:val="20"/>
          <w:szCs w:val="20"/>
          <w:lang w:val="tr-TR"/>
        </w:rPr>
        <w:t xml:space="preserve">sını oluşturan 3 branş (Kasko, Zorunlu Trafik ve Sağlık) </w:t>
      </w:r>
      <w:r w:rsidR="000C3890" w:rsidRPr="00540996">
        <w:rPr>
          <w:rFonts w:ascii="Verdana" w:hAnsi="Verdana"/>
          <w:sz w:val="20"/>
          <w:szCs w:val="20"/>
          <w:lang w:val="tr-TR"/>
        </w:rPr>
        <w:t xml:space="preserve">sektör genelinde </w:t>
      </w:r>
      <w:r w:rsidR="009607CD" w:rsidRPr="00540996">
        <w:rPr>
          <w:rFonts w:ascii="Verdana" w:hAnsi="Verdana"/>
          <w:sz w:val="20"/>
          <w:szCs w:val="20"/>
          <w:lang w:val="tr-TR"/>
        </w:rPr>
        <w:t>zarar etmektedir</w:t>
      </w:r>
      <w:r w:rsidR="000C3890" w:rsidRPr="00540996">
        <w:rPr>
          <w:rFonts w:ascii="Verdana" w:hAnsi="Verdana"/>
          <w:sz w:val="20"/>
          <w:szCs w:val="20"/>
          <w:lang w:val="tr-TR"/>
        </w:rPr>
        <w:t>.</w:t>
      </w:r>
    </w:p>
    <w:p w:rsidR="009607CD" w:rsidRPr="00540996" w:rsidRDefault="009607CD" w:rsidP="009607CD">
      <w:pPr>
        <w:pStyle w:val="ListeParagraf"/>
        <w:jc w:val="center"/>
        <w:rPr>
          <w:rFonts w:ascii="Verdana" w:hAnsi="Verdana"/>
          <w:sz w:val="20"/>
          <w:szCs w:val="20"/>
          <w:lang w:val="tr-TR"/>
        </w:rPr>
      </w:pPr>
    </w:p>
    <w:p w:rsidR="009822A8" w:rsidRPr="00540996" w:rsidRDefault="0044650E" w:rsidP="009607CD">
      <w:pPr>
        <w:pStyle w:val="ListeParagraf"/>
        <w:jc w:val="center"/>
        <w:rPr>
          <w:rFonts w:ascii="Verdana" w:hAnsi="Verdana"/>
          <w:sz w:val="20"/>
          <w:szCs w:val="20"/>
          <w:lang w:val="tr-TR"/>
        </w:rPr>
      </w:pPr>
      <w:r w:rsidRPr="00540996">
        <w:rPr>
          <w:rFonts w:ascii="Verdana" w:hAnsi="Verdana"/>
          <w:noProof/>
          <w:sz w:val="20"/>
          <w:szCs w:val="20"/>
          <w:lang w:val="tr-TR"/>
        </w:rPr>
        <w:drawing>
          <wp:inline distT="0" distB="0" distL="0" distR="0">
            <wp:extent cx="3057525" cy="2286000"/>
            <wp:effectExtent l="19050" t="0" r="9525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07CD" w:rsidRPr="00540996" w:rsidRDefault="009607CD" w:rsidP="009607CD">
      <w:pPr>
        <w:pStyle w:val="ListeParagraf"/>
        <w:jc w:val="center"/>
        <w:rPr>
          <w:rFonts w:ascii="Verdana" w:hAnsi="Verdana"/>
          <w:sz w:val="20"/>
          <w:szCs w:val="20"/>
          <w:lang w:val="tr-TR"/>
        </w:rPr>
      </w:pPr>
    </w:p>
    <w:p w:rsidR="009822A8" w:rsidRPr="00540996" w:rsidRDefault="009822A8" w:rsidP="009607CD">
      <w:pPr>
        <w:numPr>
          <w:ilvl w:val="0"/>
          <w:numId w:val="8"/>
        </w:numPr>
        <w:ind w:left="426" w:hanging="426"/>
        <w:rPr>
          <w:rFonts w:ascii="Verdana" w:hAnsi="Verdana"/>
          <w:sz w:val="20"/>
          <w:szCs w:val="20"/>
          <w:lang w:val="tr-TR"/>
        </w:rPr>
      </w:pPr>
      <w:r w:rsidRPr="00540996">
        <w:rPr>
          <w:rFonts w:ascii="Verdana" w:hAnsi="Verdana"/>
          <w:sz w:val="20"/>
          <w:szCs w:val="20"/>
          <w:lang w:val="tr-TR"/>
        </w:rPr>
        <w:t xml:space="preserve">Trafik sigortalarında </w:t>
      </w:r>
      <w:r w:rsidR="000C3890" w:rsidRPr="00540996">
        <w:rPr>
          <w:rFonts w:ascii="Verdana" w:hAnsi="Verdana"/>
          <w:sz w:val="20"/>
          <w:szCs w:val="20"/>
          <w:lang w:val="tr-TR"/>
        </w:rPr>
        <w:t xml:space="preserve">başlayan </w:t>
      </w:r>
      <w:r w:rsidRPr="00540996">
        <w:rPr>
          <w:rFonts w:ascii="Verdana" w:hAnsi="Verdana"/>
          <w:sz w:val="20"/>
          <w:szCs w:val="20"/>
          <w:lang w:val="tr-TR"/>
        </w:rPr>
        <w:t xml:space="preserve">anlaşmalı tutanak uygulaması, </w:t>
      </w:r>
      <w:r w:rsidR="00DC1B3C" w:rsidRPr="00540996">
        <w:rPr>
          <w:rFonts w:ascii="Verdana" w:hAnsi="Verdana"/>
          <w:sz w:val="20"/>
          <w:szCs w:val="20"/>
          <w:lang w:val="tr-TR"/>
        </w:rPr>
        <w:t>suiistimalleri</w:t>
      </w:r>
      <w:r w:rsidRPr="00540996">
        <w:rPr>
          <w:rFonts w:ascii="Verdana" w:hAnsi="Verdana"/>
          <w:sz w:val="20"/>
          <w:szCs w:val="20"/>
          <w:lang w:val="tr-TR"/>
        </w:rPr>
        <w:t xml:space="preserve"> arttırmış, oto hasarları </w:t>
      </w:r>
      <w:r w:rsidR="000C3890" w:rsidRPr="00540996">
        <w:rPr>
          <w:rFonts w:ascii="Verdana" w:hAnsi="Verdana"/>
          <w:sz w:val="20"/>
          <w:szCs w:val="20"/>
          <w:lang w:val="tr-TR"/>
        </w:rPr>
        <w:t xml:space="preserve">buna bağlı olarak </w:t>
      </w:r>
      <w:r w:rsidRPr="00540996">
        <w:rPr>
          <w:rFonts w:ascii="Verdana" w:hAnsi="Verdana"/>
          <w:sz w:val="20"/>
          <w:szCs w:val="20"/>
          <w:lang w:val="tr-TR"/>
        </w:rPr>
        <w:t>yaklaşık 25% artmıştır.</w:t>
      </w:r>
    </w:p>
    <w:p w:rsidR="009607CD" w:rsidRPr="00540996" w:rsidRDefault="009607CD" w:rsidP="009607CD">
      <w:pPr>
        <w:rPr>
          <w:rFonts w:ascii="Verdana" w:hAnsi="Verdana"/>
          <w:sz w:val="20"/>
          <w:szCs w:val="20"/>
          <w:lang w:val="tr-TR"/>
        </w:rPr>
      </w:pPr>
    </w:p>
    <w:p w:rsidR="00FD7564" w:rsidRPr="00540996" w:rsidRDefault="00FD7564" w:rsidP="009607CD">
      <w:pPr>
        <w:rPr>
          <w:rFonts w:ascii="Verdana" w:hAnsi="Verdana"/>
          <w:b/>
          <w:sz w:val="20"/>
          <w:szCs w:val="20"/>
          <w:lang w:val="tr-TR"/>
        </w:rPr>
      </w:pPr>
      <w:r w:rsidRPr="00540996">
        <w:rPr>
          <w:rFonts w:ascii="Verdana" w:hAnsi="Verdana"/>
          <w:b/>
          <w:sz w:val="20"/>
          <w:szCs w:val="20"/>
          <w:lang w:val="tr-TR"/>
        </w:rPr>
        <w:t>ABD ve UK gibi ülkelerde bu oranlar 5%-10%, İspanya ve İtalya da ise 15% dolayındadır</w:t>
      </w:r>
    </w:p>
    <w:p w:rsidR="00FD7564" w:rsidRPr="00540996" w:rsidRDefault="00FD7564" w:rsidP="009607CD">
      <w:pPr>
        <w:rPr>
          <w:rFonts w:ascii="Verdana" w:hAnsi="Verdana"/>
          <w:sz w:val="20"/>
          <w:szCs w:val="20"/>
          <w:lang w:val="tr-TR"/>
        </w:rPr>
      </w:pPr>
    </w:p>
    <w:p w:rsidR="009822A8" w:rsidRPr="00540996" w:rsidRDefault="009822A8" w:rsidP="009822A8">
      <w:pPr>
        <w:numPr>
          <w:ilvl w:val="0"/>
          <w:numId w:val="8"/>
        </w:numPr>
        <w:ind w:left="426" w:hanging="426"/>
        <w:rPr>
          <w:rFonts w:ascii="Verdana" w:hAnsi="Verdana"/>
          <w:sz w:val="20"/>
          <w:szCs w:val="20"/>
          <w:lang w:val="tr-TR"/>
        </w:rPr>
      </w:pPr>
      <w:r w:rsidRPr="00540996">
        <w:rPr>
          <w:rFonts w:ascii="Verdana" w:hAnsi="Verdana"/>
          <w:sz w:val="20"/>
          <w:szCs w:val="20"/>
          <w:lang w:val="tr-TR"/>
        </w:rPr>
        <w:t>Faiz oranları</w:t>
      </w:r>
      <w:r w:rsidR="00825F01" w:rsidRPr="00540996">
        <w:rPr>
          <w:rFonts w:ascii="Verdana" w:hAnsi="Verdana"/>
          <w:sz w:val="20"/>
          <w:szCs w:val="20"/>
          <w:lang w:val="tr-TR"/>
        </w:rPr>
        <w:t xml:space="preserve">ndaki </w:t>
      </w:r>
      <w:r w:rsidR="000C3890" w:rsidRPr="00540996">
        <w:rPr>
          <w:rFonts w:ascii="Verdana" w:hAnsi="Verdana"/>
          <w:sz w:val="20"/>
          <w:szCs w:val="20"/>
          <w:lang w:val="tr-TR"/>
        </w:rPr>
        <w:t>iniş</w:t>
      </w:r>
      <w:r w:rsidR="00825F01" w:rsidRPr="00540996">
        <w:rPr>
          <w:rFonts w:ascii="Verdana" w:hAnsi="Verdana"/>
          <w:sz w:val="20"/>
          <w:szCs w:val="20"/>
          <w:lang w:val="tr-TR"/>
        </w:rPr>
        <w:t xml:space="preserve">, </w:t>
      </w:r>
      <w:r w:rsidR="000C3890" w:rsidRPr="00540996">
        <w:rPr>
          <w:rFonts w:ascii="Verdana" w:hAnsi="Verdana"/>
          <w:sz w:val="20"/>
          <w:szCs w:val="20"/>
          <w:lang w:val="tr-TR"/>
        </w:rPr>
        <w:t>sigortacılığın</w:t>
      </w:r>
      <w:r w:rsidR="009607CD" w:rsidRPr="00540996">
        <w:rPr>
          <w:rFonts w:ascii="Verdana" w:hAnsi="Verdana"/>
          <w:sz w:val="20"/>
          <w:szCs w:val="20"/>
          <w:lang w:val="tr-TR"/>
        </w:rPr>
        <w:t xml:space="preserve"> yatırım gelirlerini önemli ölçüde </w:t>
      </w:r>
      <w:r w:rsidRPr="00540996">
        <w:rPr>
          <w:rFonts w:ascii="Verdana" w:hAnsi="Verdana"/>
          <w:sz w:val="20"/>
          <w:szCs w:val="20"/>
          <w:lang w:val="tr-TR"/>
        </w:rPr>
        <w:t>azaltmıştır.</w:t>
      </w:r>
      <w:r w:rsidR="000C3890" w:rsidRPr="00540996">
        <w:rPr>
          <w:rFonts w:ascii="Verdana" w:hAnsi="Verdana"/>
          <w:sz w:val="20"/>
          <w:szCs w:val="20"/>
          <w:lang w:val="tr-TR"/>
        </w:rPr>
        <w:t xml:space="preserve"> Bu durum sigortacılı</w:t>
      </w:r>
      <w:r w:rsidR="007E7EB5" w:rsidRPr="00540996">
        <w:rPr>
          <w:rFonts w:ascii="Verdana" w:hAnsi="Verdana"/>
          <w:sz w:val="20"/>
          <w:szCs w:val="20"/>
          <w:lang w:val="tr-TR"/>
        </w:rPr>
        <w:t>k</w:t>
      </w:r>
      <w:r w:rsidR="009607CD" w:rsidRPr="00540996">
        <w:rPr>
          <w:rFonts w:ascii="Verdana" w:hAnsi="Verdana"/>
          <w:sz w:val="20"/>
          <w:szCs w:val="20"/>
          <w:lang w:val="tr-TR"/>
        </w:rPr>
        <w:t xml:space="preserve"> karlılığını </w:t>
      </w:r>
      <w:r w:rsidR="007E7EB5" w:rsidRPr="00540996">
        <w:rPr>
          <w:rFonts w:ascii="Verdana" w:hAnsi="Verdana"/>
          <w:sz w:val="20"/>
          <w:szCs w:val="20"/>
          <w:lang w:val="tr-TR"/>
        </w:rPr>
        <w:t>2010’da da</w:t>
      </w:r>
      <w:r w:rsidR="000C3890" w:rsidRPr="00540996">
        <w:rPr>
          <w:rFonts w:ascii="Verdana" w:hAnsi="Verdana"/>
          <w:sz w:val="20"/>
          <w:szCs w:val="20"/>
          <w:lang w:val="tr-TR"/>
        </w:rPr>
        <w:t xml:space="preserve"> </w:t>
      </w:r>
      <w:r w:rsidR="009607CD" w:rsidRPr="00540996">
        <w:rPr>
          <w:rFonts w:ascii="Verdana" w:hAnsi="Verdana"/>
          <w:sz w:val="20"/>
          <w:szCs w:val="20"/>
          <w:lang w:val="tr-TR"/>
        </w:rPr>
        <w:t>olumsuz etkileyecektir.</w:t>
      </w:r>
    </w:p>
    <w:p w:rsidR="00FD7564" w:rsidRPr="00540996" w:rsidRDefault="00FD7564" w:rsidP="00FD7564">
      <w:pPr>
        <w:pStyle w:val="ListeParagraf"/>
        <w:rPr>
          <w:rFonts w:ascii="Verdana" w:hAnsi="Verdana"/>
          <w:sz w:val="20"/>
          <w:szCs w:val="20"/>
          <w:lang w:val="tr-TR"/>
        </w:rPr>
      </w:pPr>
    </w:p>
    <w:p w:rsidR="00FD7564" w:rsidRPr="00540996" w:rsidRDefault="00FD7564" w:rsidP="00FD7564">
      <w:pPr>
        <w:rPr>
          <w:rFonts w:ascii="Verdana" w:hAnsi="Verdana"/>
          <w:b/>
          <w:sz w:val="20"/>
          <w:szCs w:val="20"/>
          <w:lang w:val="tr-TR"/>
        </w:rPr>
      </w:pPr>
      <w:r w:rsidRPr="00540996">
        <w:rPr>
          <w:rFonts w:ascii="Verdana" w:hAnsi="Verdana"/>
          <w:b/>
          <w:sz w:val="20"/>
          <w:szCs w:val="20"/>
          <w:lang w:val="tr-TR"/>
        </w:rPr>
        <w:t>“SEKTÖRÜN MÜKEMMEL FIRTINASI”</w:t>
      </w:r>
    </w:p>
    <w:p w:rsidR="009822A8" w:rsidRPr="00540996" w:rsidRDefault="009822A8" w:rsidP="000629CE">
      <w:pPr>
        <w:pStyle w:val="ListeParagraf"/>
        <w:jc w:val="center"/>
        <w:rPr>
          <w:rFonts w:ascii="Verdana" w:hAnsi="Verdana"/>
          <w:sz w:val="20"/>
          <w:szCs w:val="20"/>
          <w:lang w:val="tr-TR"/>
        </w:rPr>
      </w:pPr>
    </w:p>
    <w:p w:rsidR="009822A8" w:rsidRPr="00540996" w:rsidRDefault="0044650E" w:rsidP="000629CE">
      <w:pPr>
        <w:jc w:val="center"/>
        <w:rPr>
          <w:rFonts w:ascii="Verdana" w:hAnsi="Verdana"/>
          <w:sz w:val="20"/>
          <w:szCs w:val="20"/>
          <w:lang w:val="tr-TR"/>
        </w:rPr>
      </w:pPr>
      <w:r w:rsidRPr="00540996">
        <w:rPr>
          <w:rFonts w:ascii="Verdana" w:hAnsi="Verdana"/>
          <w:noProof/>
          <w:sz w:val="20"/>
          <w:szCs w:val="20"/>
          <w:lang w:val="tr-TR"/>
        </w:rPr>
        <w:drawing>
          <wp:inline distT="0" distB="0" distL="0" distR="0">
            <wp:extent cx="3465830" cy="2595245"/>
            <wp:effectExtent l="19050" t="0" r="127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30" cy="259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22A8" w:rsidRPr="00540996" w:rsidRDefault="009822A8" w:rsidP="009822A8">
      <w:pPr>
        <w:rPr>
          <w:rFonts w:ascii="Verdana" w:hAnsi="Verdana"/>
          <w:sz w:val="20"/>
          <w:szCs w:val="20"/>
          <w:lang w:val="tr-TR"/>
        </w:rPr>
      </w:pPr>
    </w:p>
    <w:p w:rsidR="009822A8" w:rsidRPr="00540996" w:rsidRDefault="009822A8" w:rsidP="009822A8">
      <w:pPr>
        <w:pStyle w:val="ListeParagraf"/>
        <w:rPr>
          <w:rFonts w:ascii="Verdana" w:hAnsi="Verdana"/>
          <w:sz w:val="20"/>
          <w:szCs w:val="20"/>
          <w:lang w:val="tr-TR"/>
        </w:rPr>
      </w:pPr>
    </w:p>
    <w:p w:rsidR="00CD2264" w:rsidRPr="00540996" w:rsidRDefault="000C3890" w:rsidP="00CD2264">
      <w:pPr>
        <w:numPr>
          <w:ilvl w:val="0"/>
          <w:numId w:val="8"/>
        </w:numPr>
        <w:ind w:left="426" w:hanging="426"/>
        <w:rPr>
          <w:rFonts w:ascii="Verdana" w:hAnsi="Verdana" w:cs="Arial"/>
          <w:sz w:val="20"/>
          <w:szCs w:val="20"/>
          <w:lang w:val="tr-TR"/>
        </w:rPr>
      </w:pPr>
      <w:r w:rsidRPr="00540996">
        <w:rPr>
          <w:rFonts w:ascii="Verdana" w:hAnsi="Verdana"/>
          <w:sz w:val="20"/>
          <w:szCs w:val="20"/>
          <w:lang w:val="tr-TR"/>
        </w:rPr>
        <w:t>Yukarıda belirttiğimiz n</w:t>
      </w:r>
      <w:r w:rsidR="00693D9C" w:rsidRPr="00540996">
        <w:rPr>
          <w:rFonts w:ascii="Verdana" w:hAnsi="Verdana"/>
          <w:sz w:val="20"/>
          <w:szCs w:val="20"/>
          <w:lang w:val="tr-TR"/>
        </w:rPr>
        <w:t>eden</w:t>
      </w:r>
      <w:r w:rsidRPr="00540996">
        <w:rPr>
          <w:rFonts w:ascii="Verdana" w:hAnsi="Verdana"/>
          <w:sz w:val="20"/>
          <w:szCs w:val="20"/>
          <w:lang w:val="tr-TR"/>
        </w:rPr>
        <w:t xml:space="preserve">lerden dolayı, </w:t>
      </w:r>
      <w:r w:rsidR="007F7DCA" w:rsidRPr="00540996">
        <w:rPr>
          <w:rFonts w:ascii="Verdana" w:hAnsi="Verdana"/>
          <w:sz w:val="20"/>
          <w:szCs w:val="20"/>
          <w:lang w:val="tr-TR"/>
        </w:rPr>
        <w:t>Elementer</w:t>
      </w:r>
      <w:r w:rsidR="00FB5AB3" w:rsidRPr="00540996">
        <w:rPr>
          <w:rFonts w:ascii="Verdana" w:hAnsi="Verdana"/>
          <w:sz w:val="20"/>
          <w:szCs w:val="20"/>
          <w:lang w:val="tr-TR"/>
        </w:rPr>
        <w:t xml:space="preserve"> sigortacılığın net karlılığı, </w:t>
      </w:r>
      <w:r w:rsidRPr="00540996">
        <w:rPr>
          <w:rFonts w:ascii="Verdana" w:hAnsi="Verdana"/>
          <w:sz w:val="20"/>
          <w:szCs w:val="20"/>
          <w:lang w:val="tr-TR"/>
        </w:rPr>
        <w:t xml:space="preserve">son 15 yılda giderek azalmıştır </w:t>
      </w:r>
      <w:r w:rsidR="00FB5AB3" w:rsidRPr="00540996">
        <w:rPr>
          <w:rFonts w:ascii="Verdana" w:hAnsi="Verdana"/>
          <w:sz w:val="20"/>
          <w:szCs w:val="20"/>
          <w:lang w:val="tr-TR"/>
        </w:rPr>
        <w:t>(1994</w:t>
      </w:r>
      <w:r w:rsidRPr="00540996">
        <w:rPr>
          <w:rFonts w:ascii="Verdana" w:hAnsi="Verdana"/>
          <w:sz w:val="20"/>
          <w:szCs w:val="20"/>
          <w:lang w:val="tr-TR"/>
        </w:rPr>
        <w:t>-1996 döneminde</w:t>
      </w:r>
      <w:r w:rsidR="00FB5AB3" w:rsidRPr="00540996">
        <w:rPr>
          <w:rFonts w:ascii="Verdana" w:hAnsi="Verdana"/>
          <w:sz w:val="20"/>
          <w:szCs w:val="20"/>
          <w:lang w:val="tr-TR"/>
        </w:rPr>
        <w:t xml:space="preserve"> </w:t>
      </w:r>
      <w:r w:rsidRPr="00540996">
        <w:rPr>
          <w:rFonts w:ascii="Verdana" w:hAnsi="Verdana"/>
          <w:sz w:val="20"/>
          <w:szCs w:val="20"/>
          <w:lang w:val="tr-TR"/>
        </w:rPr>
        <w:t xml:space="preserve">% </w:t>
      </w:r>
      <w:r w:rsidR="00FB5AB3" w:rsidRPr="00540996">
        <w:rPr>
          <w:rFonts w:ascii="Verdana" w:hAnsi="Verdana"/>
          <w:sz w:val="20"/>
          <w:szCs w:val="20"/>
          <w:lang w:val="tr-TR"/>
        </w:rPr>
        <w:t>19</w:t>
      </w:r>
      <w:r w:rsidRPr="00540996">
        <w:rPr>
          <w:rFonts w:ascii="Verdana" w:hAnsi="Verdana"/>
          <w:sz w:val="20"/>
          <w:szCs w:val="20"/>
          <w:lang w:val="tr-TR"/>
        </w:rPr>
        <w:t xml:space="preserve"> seviyesinde bulunan sigorta şirketleri karlılığı</w:t>
      </w:r>
      <w:r w:rsidR="00FB5AB3" w:rsidRPr="00540996">
        <w:rPr>
          <w:rFonts w:ascii="Verdana" w:hAnsi="Verdana"/>
          <w:sz w:val="20"/>
          <w:szCs w:val="20"/>
          <w:lang w:val="tr-TR"/>
        </w:rPr>
        <w:t xml:space="preserve"> </w:t>
      </w:r>
      <w:r w:rsidRPr="00540996">
        <w:rPr>
          <w:rFonts w:ascii="Verdana" w:hAnsi="Verdana"/>
          <w:sz w:val="20"/>
          <w:szCs w:val="20"/>
          <w:lang w:val="tr-TR"/>
        </w:rPr>
        <w:t>son yıllarda % 3-6 bandında seyretmektedir.</w:t>
      </w:r>
      <w:r w:rsidR="00FB5AB3" w:rsidRPr="00540996">
        <w:rPr>
          <w:rFonts w:ascii="Verdana" w:hAnsi="Verdana"/>
          <w:sz w:val="20"/>
          <w:szCs w:val="20"/>
          <w:lang w:val="tr-TR"/>
        </w:rPr>
        <w:t>)</w:t>
      </w:r>
      <w:r w:rsidR="00CD2264" w:rsidRPr="00540996">
        <w:rPr>
          <w:rFonts w:ascii="Verdana" w:hAnsi="Verdana" w:cs="Arial"/>
          <w:sz w:val="20"/>
          <w:szCs w:val="20"/>
          <w:lang w:val="tr-TR"/>
        </w:rPr>
        <w:t xml:space="preserve"> </w:t>
      </w:r>
    </w:p>
    <w:p w:rsidR="005E0D99" w:rsidRPr="00540996" w:rsidRDefault="005E0D99" w:rsidP="005E0D99">
      <w:pPr>
        <w:jc w:val="center"/>
        <w:rPr>
          <w:rFonts w:ascii="Verdana" w:hAnsi="Verdana"/>
          <w:sz w:val="20"/>
          <w:szCs w:val="20"/>
          <w:lang w:val="tr-TR"/>
        </w:rPr>
      </w:pPr>
    </w:p>
    <w:p w:rsidR="00FB5AB3" w:rsidRPr="00540996" w:rsidRDefault="00FB5AB3" w:rsidP="005E0D99">
      <w:pPr>
        <w:jc w:val="center"/>
        <w:rPr>
          <w:rFonts w:ascii="Verdana" w:hAnsi="Verdana" w:cs="Arial"/>
          <w:sz w:val="20"/>
          <w:szCs w:val="20"/>
          <w:lang w:val="tr-TR"/>
        </w:rPr>
      </w:pPr>
    </w:p>
    <w:p w:rsidR="00FB5AB3" w:rsidRPr="00540996" w:rsidRDefault="0044650E" w:rsidP="005E0D99">
      <w:pPr>
        <w:jc w:val="center"/>
        <w:rPr>
          <w:rFonts w:ascii="Verdana" w:hAnsi="Verdana"/>
          <w:sz w:val="20"/>
          <w:szCs w:val="20"/>
          <w:lang w:val="tr-TR"/>
        </w:rPr>
      </w:pPr>
      <w:r w:rsidRPr="00540996">
        <w:rPr>
          <w:rFonts w:ascii="Verdana" w:hAnsi="Verdana"/>
          <w:noProof/>
          <w:sz w:val="20"/>
          <w:szCs w:val="20"/>
          <w:lang w:val="tr-TR"/>
        </w:rPr>
        <w:drawing>
          <wp:inline distT="0" distB="0" distL="0" distR="0">
            <wp:extent cx="3532505" cy="2635250"/>
            <wp:effectExtent l="1905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505" cy="263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5AB3" w:rsidRPr="00540996" w:rsidRDefault="00FB5AB3" w:rsidP="005E0D99">
      <w:pPr>
        <w:ind w:left="720"/>
        <w:jc w:val="center"/>
        <w:rPr>
          <w:rFonts w:ascii="Verdana" w:hAnsi="Verdana"/>
          <w:sz w:val="20"/>
          <w:szCs w:val="20"/>
          <w:lang w:val="tr-TR"/>
        </w:rPr>
      </w:pPr>
    </w:p>
    <w:p w:rsidR="005E0D99" w:rsidRPr="00540996" w:rsidRDefault="005E0D99" w:rsidP="005E0D99">
      <w:pPr>
        <w:jc w:val="center"/>
        <w:rPr>
          <w:rFonts w:ascii="Verdana" w:hAnsi="Verdana" w:cs="Arial"/>
          <w:sz w:val="20"/>
          <w:szCs w:val="20"/>
          <w:lang w:val="tr-TR"/>
        </w:rPr>
      </w:pPr>
    </w:p>
    <w:p w:rsidR="000663F7" w:rsidRDefault="00CD2264" w:rsidP="000663F7">
      <w:pPr>
        <w:numPr>
          <w:ilvl w:val="0"/>
          <w:numId w:val="8"/>
        </w:numPr>
        <w:ind w:left="426" w:hanging="426"/>
        <w:rPr>
          <w:rFonts w:ascii="Verdana" w:hAnsi="Verdana" w:cs="Arial"/>
          <w:sz w:val="20"/>
          <w:szCs w:val="20"/>
          <w:lang w:val="tr-TR"/>
        </w:rPr>
      </w:pPr>
      <w:r w:rsidRPr="00540996">
        <w:rPr>
          <w:rFonts w:ascii="Verdana" w:hAnsi="Verdana" w:cs="Arial"/>
          <w:sz w:val="20"/>
          <w:szCs w:val="20"/>
          <w:lang w:val="tr-TR"/>
        </w:rPr>
        <w:t xml:space="preserve">Yeni dönemde </w:t>
      </w:r>
      <w:r w:rsidR="00F14378" w:rsidRPr="00540996">
        <w:rPr>
          <w:rFonts w:ascii="Verdana" w:hAnsi="Verdana" w:cs="Arial"/>
          <w:sz w:val="20"/>
          <w:szCs w:val="20"/>
          <w:lang w:val="tr-TR"/>
        </w:rPr>
        <w:t xml:space="preserve">sigorta </w:t>
      </w:r>
      <w:r w:rsidRPr="00540996">
        <w:rPr>
          <w:rFonts w:ascii="Verdana" w:hAnsi="Verdana" w:cs="Arial"/>
          <w:sz w:val="20"/>
          <w:szCs w:val="20"/>
          <w:lang w:val="tr-TR"/>
        </w:rPr>
        <w:t>faaliyet zararlarındaki artış</w:t>
      </w:r>
      <w:r w:rsidR="007333A6" w:rsidRPr="00540996">
        <w:rPr>
          <w:rFonts w:ascii="Verdana" w:hAnsi="Verdana" w:cs="Arial"/>
          <w:sz w:val="20"/>
          <w:szCs w:val="20"/>
          <w:lang w:val="tr-TR"/>
        </w:rPr>
        <w:t xml:space="preserve">la birlikte </w:t>
      </w:r>
      <w:r w:rsidRPr="00540996">
        <w:rPr>
          <w:rFonts w:ascii="Verdana" w:hAnsi="Verdana" w:cs="Arial"/>
          <w:sz w:val="20"/>
          <w:szCs w:val="20"/>
          <w:lang w:val="tr-TR"/>
        </w:rPr>
        <w:t xml:space="preserve">mali gelirlerdeki </w:t>
      </w:r>
      <w:r w:rsidR="007333A6" w:rsidRPr="00540996">
        <w:rPr>
          <w:rFonts w:ascii="Verdana" w:hAnsi="Verdana" w:cs="Arial"/>
          <w:sz w:val="20"/>
          <w:szCs w:val="20"/>
          <w:lang w:val="tr-TR"/>
        </w:rPr>
        <w:t>azalış</w:t>
      </w:r>
      <w:r w:rsidRPr="00540996">
        <w:rPr>
          <w:rFonts w:ascii="Verdana" w:hAnsi="Verdana" w:cs="Arial"/>
          <w:sz w:val="20"/>
          <w:szCs w:val="20"/>
          <w:lang w:val="tr-TR"/>
        </w:rPr>
        <w:t xml:space="preserve">, </w:t>
      </w:r>
      <w:r w:rsidR="007333A6" w:rsidRPr="00540996">
        <w:rPr>
          <w:rFonts w:ascii="Verdana" w:hAnsi="Verdana" w:cs="Arial"/>
          <w:sz w:val="20"/>
          <w:szCs w:val="20"/>
          <w:lang w:val="tr-TR"/>
        </w:rPr>
        <w:t>bazı</w:t>
      </w:r>
      <w:r w:rsidRPr="00540996">
        <w:rPr>
          <w:rFonts w:ascii="Verdana" w:hAnsi="Verdana" w:cs="Arial"/>
          <w:sz w:val="20"/>
          <w:szCs w:val="20"/>
          <w:lang w:val="tr-TR"/>
        </w:rPr>
        <w:t xml:space="preserve"> şirket</w:t>
      </w:r>
      <w:r w:rsidR="007333A6" w:rsidRPr="00540996">
        <w:rPr>
          <w:rFonts w:ascii="Verdana" w:hAnsi="Verdana" w:cs="Arial"/>
          <w:sz w:val="20"/>
          <w:szCs w:val="20"/>
          <w:lang w:val="tr-TR"/>
        </w:rPr>
        <w:t>ler</w:t>
      </w:r>
      <w:r w:rsidRPr="00540996">
        <w:rPr>
          <w:rFonts w:ascii="Verdana" w:hAnsi="Verdana" w:cs="Arial"/>
          <w:sz w:val="20"/>
          <w:szCs w:val="20"/>
          <w:lang w:val="tr-TR"/>
        </w:rPr>
        <w:t xml:space="preserve"> için ilave sermaye gereksinimi ortaya çıkaracak</w:t>
      </w:r>
      <w:r w:rsidR="007333A6" w:rsidRPr="00540996">
        <w:rPr>
          <w:rFonts w:ascii="Verdana" w:hAnsi="Verdana" w:cs="Arial"/>
          <w:sz w:val="20"/>
          <w:szCs w:val="20"/>
          <w:lang w:val="tr-TR"/>
        </w:rPr>
        <w:t xml:space="preserve">tır; bu durum Türk sigortacılığında </w:t>
      </w:r>
      <w:r w:rsidRPr="00540996">
        <w:rPr>
          <w:rFonts w:ascii="Verdana" w:hAnsi="Verdana" w:cs="Arial"/>
          <w:sz w:val="20"/>
          <w:szCs w:val="20"/>
          <w:lang w:val="tr-TR"/>
        </w:rPr>
        <w:t>konsolidasyon</w:t>
      </w:r>
      <w:r w:rsidR="007333A6" w:rsidRPr="00540996">
        <w:rPr>
          <w:rFonts w:ascii="Verdana" w:hAnsi="Verdana" w:cs="Arial"/>
          <w:sz w:val="20"/>
          <w:szCs w:val="20"/>
          <w:lang w:val="tr-TR"/>
        </w:rPr>
        <w:t>u</w:t>
      </w:r>
      <w:r w:rsidRPr="00540996">
        <w:rPr>
          <w:rFonts w:ascii="Verdana" w:hAnsi="Verdana" w:cs="Arial"/>
          <w:sz w:val="20"/>
          <w:szCs w:val="20"/>
          <w:lang w:val="tr-TR"/>
        </w:rPr>
        <w:t xml:space="preserve"> hızlandıra</w:t>
      </w:r>
      <w:r w:rsidR="007333A6" w:rsidRPr="00540996">
        <w:rPr>
          <w:rFonts w:ascii="Verdana" w:hAnsi="Verdana" w:cs="Arial"/>
          <w:sz w:val="20"/>
          <w:szCs w:val="20"/>
          <w:lang w:val="tr-TR"/>
        </w:rPr>
        <w:t>bilir</w:t>
      </w:r>
      <w:r w:rsidR="000663F7" w:rsidRPr="00540996">
        <w:rPr>
          <w:rFonts w:ascii="Verdana" w:hAnsi="Verdana" w:cs="Arial"/>
          <w:sz w:val="20"/>
          <w:szCs w:val="20"/>
          <w:lang w:val="tr-TR"/>
        </w:rPr>
        <w:t>.</w:t>
      </w:r>
    </w:p>
    <w:p w:rsidR="00540996" w:rsidRDefault="00540996" w:rsidP="00540996">
      <w:pPr>
        <w:rPr>
          <w:rFonts w:ascii="Verdana" w:hAnsi="Verdana" w:cs="Arial"/>
          <w:sz w:val="20"/>
          <w:szCs w:val="20"/>
          <w:lang w:val="tr-TR"/>
        </w:rPr>
      </w:pPr>
    </w:p>
    <w:p w:rsidR="00540996" w:rsidRPr="00540996" w:rsidRDefault="00540996" w:rsidP="00540996">
      <w:pPr>
        <w:rPr>
          <w:rFonts w:ascii="Verdana" w:hAnsi="Verdana" w:cs="Arial"/>
          <w:sz w:val="20"/>
          <w:szCs w:val="20"/>
          <w:lang w:val="tr-TR"/>
        </w:rPr>
      </w:pPr>
    </w:p>
    <w:p w:rsidR="000663F7" w:rsidRPr="00540996" w:rsidRDefault="000663F7" w:rsidP="000663F7">
      <w:pPr>
        <w:rPr>
          <w:rFonts w:ascii="Verdana" w:hAnsi="Verdana" w:cs="Arial"/>
          <w:sz w:val="20"/>
          <w:szCs w:val="20"/>
          <w:lang w:val="tr-TR"/>
        </w:rPr>
      </w:pPr>
    </w:p>
    <w:p w:rsidR="00734886" w:rsidRPr="00540996" w:rsidRDefault="00734886" w:rsidP="00734886">
      <w:pPr>
        <w:pStyle w:val="ListeParagraf1"/>
        <w:ind w:left="0"/>
        <w:rPr>
          <w:rFonts w:ascii="Verdana" w:hAnsi="Verdana"/>
          <w:b/>
          <w:sz w:val="20"/>
          <w:szCs w:val="20"/>
        </w:rPr>
      </w:pPr>
    </w:p>
    <w:p w:rsidR="00FB5AB3" w:rsidRPr="00540996" w:rsidRDefault="00FB5AB3" w:rsidP="00FB1E52">
      <w:pPr>
        <w:pStyle w:val="ListeParagraf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Verdana" w:hAnsi="Verdana"/>
          <w:b/>
          <w:sz w:val="20"/>
          <w:szCs w:val="20"/>
        </w:rPr>
      </w:pPr>
      <w:r w:rsidRPr="00540996">
        <w:rPr>
          <w:rFonts w:ascii="Verdana" w:hAnsi="Verdana"/>
          <w:b/>
          <w:sz w:val="20"/>
          <w:szCs w:val="20"/>
        </w:rPr>
        <w:lastRenderedPageBreak/>
        <w:t>SABANCI</w:t>
      </w:r>
      <w:r w:rsidR="00FB1E52" w:rsidRPr="00540996">
        <w:rPr>
          <w:rFonts w:ascii="Verdana" w:hAnsi="Verdana"/>
          <w:b/>
          <w:sz w:val="20"/>
          <w:szCs w:val="20"/>
        </w:rPr>
        <w:t xml:space="preserve"> HOLDİNG SİGORTA HİZMETLERİ GRUBU</w:t>
      </w:r>
    </w:p>
    <w:p w:rsidR="00FB5AB3" w:rsidRPr="00540996" w:rsidRDefault="00FB5AB3" w:rsidP="00F021E0">
      <w:pPr>
        <w:pStyle w:val="ListeParagraf1"/>
        <w:ind w:left="0"/>
        <w:rPr>
          <w:rFonts w:ascii="Verdana" w:hAnsi="Verdana"/>
          <w:b/>
          <w:sz w:val="20"/>
          <w:szCs w:val="20"/>
        </w:rPr>
      </w:pPr>
    </w:p>
    <w:p w:rsidR="00197E68" w:rsidRPr="00540996" w:rsidRDefault="00C75682" w:rsidP="00197E68">
      <w:pPr>
        <w:numPr>
          <w:ilvl w:val="0"/>
          <w:numId w:val="11"/>
        </w:numPr>
        <w:rPr>
          <w:rFonts w:ascii="Verdana" w:hAnsi="Verdana" w:cs="Arial"/>
          <w:b/>
          <w:sz w:val="20"/>
          <w:szCs w:val="20"/>
          <w:lang w:val="tr-TR"/>
        </w:rPr>
      </w:pPr>
      <w:r w:rsidRPr="00540996">
        <w:rPr>
          <w:rFonts w:ascii="Verdana" w:hAnsi="Verdana" w:cs="Arial"/>
          <w:b/>
          <w:sz w:val="20"/>
          <w:szCs w:val="20"/>
          <w:lang w:val="tr-TR"/>
        </w:rPr>
        <w:t>Sigorta</w:t>
      </w:r>
      <w:r w:rsidR="00112AB9" w:rsidRPr="00540996">
        <w:rPr>
          <w:rFonts w:ascii="Verdana" w:hAnsi="Verdana" w:cs="Arial"/>
          <w:b/>
          <w:sz w:val="20"/>
          <w:szCs w:val="20"/>
          <w:lang w:val="tr-TR"/>
        </w:rPr>
        <w:t xml:space="preserve"> hizmetleri,</w:t>
      </w:r>
      <w:r w:rsidR="00197E68" w:rsidRPr="00540996">
        <w:rPr>
          <w:rFonts w:ascii="Verdana" w:hAnsi="Verdana" w:cs="Arial"/>
          <w:b/>
          <w:sz w:val="20"/>
          <w:szCs w:val="20"/>
          <w:lang w:val="tr-TR"/>
        </w:rPr>
        <w:t xml:space="preserve"> </w:t>
      </w:r>
      <w:r w:rsidR="00D740FC" w:rsidRPr="00540996">
        <w:rPr>
          <w:rFonts w:ascii="Verdana" w:hAnsi="Verdana" w:cs="Arial"/>
          <w:b/>
          <w:sz w:val="20"/>
          <w:szCs w:val="20"/>
          <w:lang w:val="tr-TR"/>
        </w:rPr>
        <w:t xml:space="preserve">Sabancı </w:t>
      </w:r>
      <w:r w:rsidR="003C542B" w:rsidRPr="00540996">
        <w:rPr>
          <w:rFonts w:ascii="Verdana" w:hAnsi="Verdana" w:cs="Arial"/>
          <w:b/>
          <w:sz w:val="20"/>
          <w:szCs w:val="20"/>
          <w:lang w:val="tr-TR"/>
        </w:rPr>
        <w:t xml:space="preserve">Holding’in </w:t>
      </w:r>
      <w:r w:rsidR="00197E68" w:rsidRPr="00540996">
        <w:rPr>
          <w:rFonts w:ascii="Verdana" w:hAnsi="Verdana" w:cs="Arial"/>
          <w:b/>
          <w:sz w:val="20"/>
          <w:szCs w:val="20"/>
          <w:lang w:val="tr-TR"/>
        </w:rPr>
        <w:t xml:space="preserve">belirlenmiş ana iş kollarından biridir. </w:t>
      </w:r>
      <w:r w:rsidR="003C542B" w:rsidRPr="00540996">
        <w:rPr>
          <w:rFonts w:ascii="Verdana" w:hAnsi="Verdana" w:cs="Arial"/>
          <w:b/>
          <w:sz w:val="20"/>
          <w:szCs w:val="20"/>
          <w:lang w:val="tr-TR"/>
        </w:rPr>
        <w:t xml:space="preserve">Faaliyette bulunduğu </w:t>
      </w:r>
      <w:r w:rsidR="00D740FC" w:rsidRPr="00540996">
        <w:rPr>
          <w:rFonts w:ascii="Verdana" w:hAnsi="Verdana" w:cs="Arial"/>
          <w:b/>
          <w:sz w:val="20"/>
          <w:szCs w:val="20"/>
          <w:lang w:val="tr-TR"/>
        </w:rPr>
        <w:t xml:space="preserve">Perakende, Bankacılık, Enerji </w:t>
      </w:r>
      <w:r w:rsidR="00112AB9" w:rsidRPr="00540996">
        <w:rPr>
          <w:rFonts w:ascii="Verdana" w:hAnsi="Verdana" w:cs="Arial"/>
          <w:b/>
          <w:sz w:val="20"/>
          <w:szCs w:val="20"/>
          <w:lang w:val="tr-TR"/>
        </w:rPr>
        <w:t>alanlar</w:t>
      </w:r>
      <w:r w:rsidR="006A04F4" w:rsidRPr="00540996">
        <w:rPr>
          <w:rFonts w:ascii="Verdana" w:hAnsi="Verdana" w:cs="Arial"/>
          <w:b/>
          <w:sz w:val="20"/>
          <w:szCs w:val="20"/>
          <w:lang w:val="tr-TR"/>
        </w:rPr>
        <w:t>ın</w:t>
      </w:r>
      <w:r w:rsidR="00112AB9" w:rsidRPr="00540996">
        <w:rPr>
          <w:rFonts w:ascii="Verdana" w:hAnsi="Verdana" w:cs="Arial"/>
          <w:b/>
          <w:sz w:val="20"/>
          <w:szCs w:val="20"/>
          <w:lang w:val="tr-TR"/>
        </w:rPr>
        <w:t>da</w:t>
      </w:r>
      <w:r w:rsidR="00197E68" w:rsidRPr="00540996">
        <w:rPr>
          <w:rFonts w:ascii="Verdana" w:hAnsi="Verdana" w:cs="Arial"/>
          <w:b/>
          <w:sz w:val="20"/>
          <w:szCs w:val="20"/>
          <w:lang w:val="tr-TR"/>
        </w:rPr>
        <w:t xml:space="preserve"> olduğu gibi, </w:t>
      </w:r>
      <w:r w:rsidR="003C542B" w:rsidRPr="00540996">
        <w:rPr>
          <w:rFonts w:ascii="Verdana" w:hAnsi="Verdana" w:cs="Arial"/>
          <w:b/>
          <w:sz w:val="20"/>
          <w:szCs w:val="20"/>
          <w:lang w:val="tr-TR"/>
        </w:rPr>
        <w:t xml:space="preserve">Sabancı Holding </w:t>
      </w:r>
      <w:r w:rsidR="00D740FC" w:rsidRPr="00540996">
        <w:rPr>
          <w:rFonts w:ascii="Verdana" w:hAnsi="Verdana" w:cs="Arial"/>
          <w:b/>
          <w:sz w:val="20"/>
          <w:szCs w:val="20"/>
          <w:lang w:val="tr-TR"/>
        </w:rPr>
        <w:t>Sigorta sektörünün</w:t>
      </w:r>
      <w:r w:rsidR="00112AB9" w:rsidRPr="00540996">
        <w:rPr>
          <w:rFonts w:ascii="Verdana" w:hAnsi="Verdana" w:cs="Arial"/>
          <w:b/>
          <w:sz w:val="20"/>
          <w:szCs w:val="20"/>
          <w:lang w:val="tr-TR"/>
        </w:rPr>
        <w:t xml:space="preserve"> </w:t>
      </w:r>
      <w:r w:rsidR="00D740FC" w:rsidRPr="00540996">
        <w:rPr>
          <w:rFonts w:ascii="Verdana" w:hAnsi="Verdana" w:cs="Arial"/>
          <w:b/>
          <w:sz w:val="20"/>
          <w:szCs w:val="20"/>
          <w:lang w:val="tr-TR"/>
        </w:rPr>
        <w:t xml:space="preserve">de </w:t>
      </w:r>
      <w:r w:rsidR="00197E68" w:rsidRPr="00540996">
        <w:rPr>
          <w:rFonts w:ascii="Verdana" w:hAnsi="Verdana" w:cs="Arial"/>
          <w:b/>
          <w:sz w:val="20"/>
          <w:szCs w:val="20"/>
          <w:lang w:val="tr-TR"/>
        </w:rPr>
        <w:t>lider olmayı hedeflemektedir.</w:t>
      </w:r>
    </w:p>
    <w:p w:rsidR="00AE38D6" w:rsidRPr="00540996" w:rsidRDefault="00AE38D6" w:rsidP="00AE38D6">
      <w:pPr>
        <w:rPr>
          <w:rFonts w:ascii="Verdana" w:hAnsi="Verdana" w:cs="Arial"/>
          <w:b/>
          <w:sz w:val="20"/>
          <w:szCs w:val="20"/>
          <w:lang w:val="tr-TR"/>
        </w:rPr>
      </w:pPr>
    </w:p>
    <w:p w:rsidR="00AE38D6" w:rsidRPr="00540996" w:rsidRDefault="00AE38D6" w:rsidP="00AE38D6">
      <w:pPr>
        <w:pStyle w:val="ListeParagraf1"/>
        <w:ind w:left="360"/>
        <w:rPr>
          <w:rFonts w:ascii="Verdana" w:eastAsia="Times New Roman" w:hAnsi="Verdana" w:cs="Arial"/>
          <w:b/>
          <w:sz w:val="20"/>
          <w:szCs w:val="20"/>
        </w:rPr>
      </w:pPr>
      <w:r w:rsidRPr="00540996">
        <w:rPr>
          <w:rFonts w:ascii="Verdana" w:eastAsia="Times New Roman" w:hAnsi="Verdana" w:cs="Arial"/>
          <w:b/>
          <w:sz w:val="20"/>
          <w:szCs w:val="20"/>
        </w:rPr>
        <w:t>Sabancı grubu, hizmet sektöründe müşteriye yakın olacağı işlerde büyümek istemektedir.</w:t>
      </w:r>
    </w:p>
    <w:p w:rsidR="00197E68" w:rsidRPr="00540996" w:rsidRDefault="00197E68" w:rsidP="00197E68">
      <w:pPr>
        <w:pStyle w:val="ListeParagraf1"/>
        <w:ind w:left="360"/>
        <w:rPr>
          <w:rFonts w:ascii="Verdana" w:eastAsia="Times New Roman" w:hAnsi="Verdana" w:cs="Arial"/>
          <w:sz w:val="20"/>
          <w:szCs w:val="20"/>
        </w:rPr>
      </w:pPr>
    </w:p>
    <w:p w:rsidR="00AE38D6" w:rsidRPr="00540996" w:rsidRDefault="00AE38D6" w:rsidP="00AE38D6">
      <w:pPr>
        <w:numPr>
          <w:ilvl w:val="0"/>
          <w:numId w:val="10"/>
        </w:numPr>
        <w:rPr>
          <w:rFonts w:ascii="Verdana" w:hAnsi="Verdana" w:cs="Arial"/>
          <w:b/>
          <w:sz w:val="20"/>
          <w:szCs w:val="20"/>
          <w:lang w:val="tr-TR"/>
        </w:rPr>
      </w:pPr>
      <w:r w:rsidRPr="00540996">
        <w:rPr>
          <w:rFonts w:ascii="Verdana" w:hAnsi="Verdana" w:cs="Arial"/>
          <w:b/>
          <w:sz w:val="20"/>
          <w:szCs w:val="20"/>
          <w:lang w:val="tr-TR"/>
        </w:rPr>
        <w:t>Sabancı Holding Sigorta Grubu şirketlerinin öncelikli hedefi pazarı geliştirmek ve sürdürülebilir şekilde büyümektir.</w:t>
      </w:r>
    </w:p>
    <w:p w:rsidR="00AE38D6" w:rsidRPr="00540996" w:rsidRDefault="00AE38D6" w:rsidP="00AE38D6">
      <w:pPr>
        <w:rPr>
          <w:rFonts w:ascii="Verdana" w:hAnsi="Verdana" w:cs="Arial"/>
          <w:sz w:val="20"/>
          <w:szCs w:val="20"/>
          <w:lang w:val="tr-TR"/>
        </w:rPr>
      </w:pPr>
    </w:p>
    <w:p w:rsidR="00AE38D6" w:rsidRPr="00540996" w:rsidRDefault="00AE38D6" w:rsidP="00AE38D6">
      <w:pPr>
        <w:pStyle w:val="ListeParagraf1"/>
        <w:ind w:left="360"/>
        <w:rPr>
          <w:rFonts w:ascii="Verdana" w:eastAsia="Times New Roman" w:hAnsi="Verdana" w:cs="Arial"/>
          <w:b/>
          <w:sz w:val="20"/>
          <w:szCs w:val="20"/>
        </w:rPr>
      </w:pPr>
    </w:p>
    <w:p w:rsidR="00AE38D6" w:rsidRPr="00540996" w:rsidRDefault="00AE38D6" w:rsidP="00AE38D6">
      <w:pPr>
        <w:pStyle w:val="ListeParagraf1"/>
        <w:ind w:left="360"/>
        <w:rPr>
          <w:rFonts w:ascii="Verdana" w:eastAsia="Times New Roman" w:hAnsi="Verdana" w:cs="Arial"/>
          <w:b/>
          <w:sz w:val="20"/>
          <w:szCs w:val="20"/>
        </w:rPr>
      </w:pPr>
      <w:r w:rsidRPr="00540996">
        <w:rPr>
          <w:rFonts w:ascii="Verdana" w:eastAsia="Times New Roman" w:hAnsi="Verdana" w:cs="Arial"/>
          <w:b/>
          <w:sz w:val="20"/>
          <w:szCs w:val="20"/>
        </w:rPr>
        <w:t>Sigorta, güven üzerine kuruludur.  Sabancı, Türkiye’nin en güvendiği markadır. ( Nükleer enerjide bile Sabancı varsa güvenirim.) Türkiye’de hiç sigorta ürünü satın almamış müşterilere “Sigorta ürünü alacak olsanız kimden alırsınız? “ sorusuna verilen ilk cevap Aksigorta oldu. Neden sorusuna ise verilen cevap “Güven” oldu. (AC Nielsen araştırması)</w:t>
      </w:r>
    </w:p>
    <w:p w:rsidR="00197E68" w:rsidRPr="00540996" w:rsidRDefault="00197E68" w:rsidP="00197E68">
      <w:pPr>
        <w:rPr>
          <w:rFonts w:ascii="Verdana" w:hAnsi="Verdana" w:cs="Arial"/>
          <w:sz w:val="20"/>
          <w:szCs w:val="20"/>
          <w:lang w:val="tr-TR"/>
        </w:rPr>
      </w:pPr>
    </w:p>
    <w:p w:rsidR="00F71464" w:rsidRPr="00540996" w:rsidRDefault="00FB1E52" w:rsidP="00FB1E52">
      <w:pPr>
        <w:numPr>
          <w:ilvl w:val="0"/>
          <w:numId w:val="10"/>
        </w:numPr>
        <w:rPr>
          <w:rFonts w:ascii="Verdana" w:hAnsi="Verdana" w:cs="Arial"/>
          <w:sz w:val="20"/>
          <w:szCs w:val="20"/>
          <w:lang w:val="tr-TR"/>
        </w:rPr>
      </w:pPr>
      <w:r w:rsidRPr="00540996">
        <w:rPr>
          <w:rFonts w:ascii="Verdana" w:hAnsi="Verdana" w:cs="Arial"/>
          <w:sz w:val="20"/>
          <w:szCs w:val="20"/>
          <w:lang w:val="tr-TR"/>
        </w:rPr>
        <w:t xml:space="preserve">AKSigorta ve AvivaSA’ dan oluşan </w:t>
      </w:r>
      <w:r w:rsidR="00197E68" w:rsidRPr="00540996">
        <w:rPr>
          <w:rFonts w:ascii="Verdana" w:hAnsi="Verdana" w:cs="Arial"/>
          <w:sz w:val="20"/>
          <w:szCs w:val="20"/>
          <w:lang w:val="tr-TR"/>
        </w:rPr>
        <w:t>Sabancı</w:t>
      </w:r>
      <w:r w:rsidRPr="00540996">
        <w:rPr>
          <w:rFonts w:ascii="Verdana" w:hAnsi="Verdana" w:cs="Arial"/>
          <w:sz w:val="20"/>
          <w:szCs w:val="20"/>
          <w:lang w:val="tr-TR"/>
        </w:rPr>
        <w:t xml:space="preserve"> </w:t>
      </w:r>
      <w:r w:rsidR="00197E68" w:rsidRPr="00540996">
        <w:rPr>
          <w:rFonts w:ascii="Verdana" w:hAnsi="Verdana" w:cs="Arial"/>
          <w:sz w:val="20"/>
          <w:szCs w:val="20"/>
          <w:lang w:val="tr-TR"/>
        </w:rPr>
        <w:t xml:space="preserve">Holding </w:t>
      </w:r>
      <w:r w:rsidRPr="00540996">
        <w:rPr>
          <w:rFonts w:ascii="Verdana" w:hAnsi="Verdana" w:cs="Arial"/>
          <w:sz w:val="20"/>
          <w:szCs w:val="20"/>
          <w:lang w:val="tr-TR"/>
        </w:rPr>
        <w:t xml:space="preserve">Sigorta Grubu, </w:t>
      </w:r>
      <w:r w:rsidR="009607CD" w:rsidRPr="00540996">
        <w:rPr>
          <w:rFonts w:ascii="Verdana" w:hAnsi="Verdana" w:cs="Arial"/>
          <w:sz w:val="20"/>
          <w:szCs w:val="20"/>
          <w:lang w:val="tr-TR"/>
        </w:rPr>
        <w:t xml:space="preserve">2009 yılında 1 </w:t>
      </w:r>
      <w:r w:rsidRPr="00540996">
        <w:rPr>
          <w:rFonts w:ascii="Verdana" w:hAnsi="Verdana" w:cs="Arial"/>
          <w:sz w:val="20"/>
          <w:szCs w:val="20"/>
          <w:lang w:val="tr-TR"/>
        </w:rPr>
        <w:t>milyar TL prim üretimi, 2 milyar TL emeklilik fon büyüklüğü, 1,6 milyon sigortalısı ve 2 binden fazla çalışanı ile Türkiye’nin önde gelen sigorta gruplarındandır.</w:t>
      </w:r>
    </w:p>
    <w:p w:rsidR="00F71464" w:rsidRPr="00540996" w:rsidRDefault="00F71464" w:rsidP="00F71464">
      <w:pPr>
        <w:rPr>
          <w:rFonts w:ascii="Verdana" w:hAnsi="Verdana" w:cs="Arial"/>
          <w:sz w:val="20"/>
          <w:szCs w:val="20"/>
          <w:lang w:val="tr-TR"/>
        </w:rPr>
      </w:pPr>
    </w:p>
    <w:p w:rsidR="00F71464" w:rsidRPr="00540996" w:rsidRDefault="00FB1E52" w:rsidP="00FB1E52">
      <w:pPr>
        <w:numPr>
          <w:ilvl w:val="1"/>
          <w:numId w:val="10"/>
        </w:numPr>
        <w:rPr>
          <w:rFonts w:ascii="Verdana" w:hAnsi="Verdana" w:cs="Arial"/>
          <w:sz w:val="20"/>
          <w:szCs w:val="20"/>
          <w:lang w:val="tr-TR"/>
        </w:rPr>
      </w:pPr>
      <w:r w:rsidRPr="00540996">
        <w:rPr>
          <w:rFonts w:ascii="Verdana" w:hAnsi="Verdana" w:cs="Arial"/>
          <w:sz w:val="20"/>
          <w:szCs w:val="20"/>
          <w:lang w:val="tr-TR"/>
        </w:rPr>
        <w:t>AvivaSA, emeklilik fon büyüklüğü ile sektöründe lider şirkettir.</w:t>
      </w:r>
    </w:p>
    <w:p w:rsidR="00F71464" w:rsidRPr="00540996" w:rsidRDefault="00FB1E52" w:rsidP="00FB1E52">
      <w:pPr>
        <w:numPr>
          <w:ilvl w:val="1"/>
          <w:numId w:val="10"/>
        </w:numPr>
        <w:rPr>
          <w:rFonts w:ascii="Verdana" w:hAnsi="Verdana" w:cs="Arial"/>
          <w:sz w:val="20"/>
          <w:szCs w:val="20"/>
          <w:lang w:val="tr-TR"/>
        </w:rPr>
      </w:pPr>
      <w:r w:rsidRPr="00540996">
        <w:rPr>
          <w:rFonts w:ascii="Verdana" w:hAnsi="Verdana" w:cs="Arial"/>
          <w:sz w:val="20"/>
          <w:szCs w:val="20"/>
          <w:lang w:val="tr-TR"/>
        </w:rPr>
        <w:t>Aksi</w:t>
      </w:r>
      <w:r w:rsidR="003C542B" w:rsidRPr="00540996">
        <w:rPr>
          <w:rFonts w:ascii="Verdana" w:hAnsi="Verdana" w:cs="Arial"/>
          <w:sz w:val="20"/>
          <w:szCs w:val="20"/>
          <w:lang w:val="tr-TR"/>
        </w:rPr>
        <w:t xml:space="preserve">gorta 8.4% pazar payı ile </w:t>
      </w:r>
      <w:r w:rsidR="002A5334" w:rsidRPr="00540996">
        <w:rPr>
          <w:rFonts w:ascii="Verdana" w:hAnsi="Verdana" w:cs="Arial"/>
          <w:sz w:val="20"/>
          <w:szCs w:val="20"/>
          <w:lang w:val="tr-TR"/>
        </w:rPr>
        <w:t>elementer</w:t>
      </w:r>
      <w:r w:rsidR="003C542B" w:rsidRPr="00540996">
        <w:rPr>
          <w:rFonts w:ascii="Verdana" w:hAnsi="Verdana" w:cs="Arial"/>
          <w:sz w:val="20"/>
          <w:szCs w:val="20"/>
          <w:lang w:val="tr-TR"/>
        </w:rPr>
        <w:t xml:space="preserve"> </w:t>
      </w:r>
      <w:r w:rsidR="00C75682" w:rsidRPr="00540996">
        <w:rPr>
          <w:rFonts w:ascii="Verdana" w:hAnsi="Verdana" w:cs="Arial"/>
          <w:sz w:val="20"/>
          <w:szCs w:val="20"/>
          <w:lang w:val="tr-TR"/>
        </w:rPr>
        <w:t>sigortad</w:t>
      </w:r>
      <w:r w:rsidR="003C542B" w:rsidRPr="00540996">
        <w:rPr>
          <w:rFonts w:ascii="Verdana" w:hAnsi="Verdana" w:cs="Arial"/>
          <w:sz w:val="20"/>
          <w:szCs w:val="20"/>
          <w:lang w:val="tr-TR"/>
        </w:rPr>
        <w:t xml:space="preserve">a </w:t>
      </w:r>
      <w:r w:rsidRPr="00540996">
        <w:rPr>
          <w:rFonts w:ascii="Verdana" w:hAnsi="Verdana" w:cs="Arial"/>
          <w:sz w:val="20"/>
          <w:szCs w:val="20"/>
          <w:lang w:val="tr-TR"/>
        </w:rPr>
        <w:t>ikinci en büyük yerli firmadır.</w:t>
      </w:r>
    </w:p>
    <w:p w:rsidR="00F71464" w:rsidRPr="00540996" w:rsidRDefault="00F71464" w:rsidP="00F71464">
      <w:pPr>
        <w:ind w:left="360"/>
        <w:rPr>
          <w:rFonts w:ascii="Verdana" w:hAnsi="Verdana" w:cs="Arial"/>
          <w:sz w:val="20"/>
          <w:szCs w:val="20"/>
          <w:lang w:val="tr-TR"/>
        </w:rPr>
      </w:pPr>
    </w:p>
    <w:p w:rsidR="00FB1E52" w:rsidRPr="00540996" w:rsidRDefault="00D740FC" w:rsidP="00F71464">
      <w:pPr>
        <w:numPr>
          <w:ilvl w:val="0"/>
          <w:numId w:val="10"/>
        </w:numPr>
        <w:rPr>
          <w:rFonts w:ascii="Verdana" w:hAnsi="Verdana" w:cs="Arial"/>
          <w:sz w:val="20"/>
          <w:szCs w:val="20"/>
          <w:lang w:val="tr-TR"/>
        </w:rPr>
      </w:pPr>
      <w:r w:rsidRPr="00540996">
        <w:rPr>
          <w:rFonts w:ascii="Verdana" w:hAnsi="Verdana" w:cs="Arial"/>
          <w:sz w:val="20"/>
          <w:szCs w:val="20"/>
          <w:u w:val="single"/>
          <w:lang w:val="tr-TR"/>
        </w:rPr>
        <w:t>Aksigorta hakkında:</w:t>
      </w:r>
      <w:r w:rsidRPr="00540996">
        <w:rPr>
          <w:rFonts w:ascii="Verdana" w:hAnsi="Verdana" w:cs="Arial"/>
          <w:sz w:val="20"/>
          <w:szCs w:val="20"/>
          <w:lang w:val="tr-TR"/>
        </w:rPr>
        <w:t xml:space="preserve"> Türkiye’nin, çağdaş ve öncü sigorta şirketi Aksigorta, 1960 yılından bu yana toplumda sigorta bilincini artırarak, tüm kurumsal ve bireysel müşterilerine en kaliteli ve yaygın hizmeti sunmaktadır. </w:t>
      </w:r>
      <w:r w:rsidR="007C4557" w:rsidRPr="00540996">
        <w:rPr>
          <w:rFonts w:ascii="Verdana" w:hAnsi="Verdana" w:cs="Arial"/>
          <w:sz w:val="20"/>
          <w:szCs w:val="20"/>
          <w:lang w:val="tr-TR"/>
        </w:rPr>
        <w:t>Aksigorta Türkiye’de marka bilinirliği en yüksek sigorta şirketidir. G</w:t>
      </w:r>
      <w:r w:rsidRPr="00540996">
        <w:rPr>
          <w:rFonts w:ascii="Verdana" w:hAnsi="Verdana" w:cs="Arial"/>
          <w:sz w:val="20"/>
          <w:szCs w:val="20"/>
          <w:lang w:val="tr-TR"/>
        </w:rPr>
        <w:t>ü</w:t>
      </w:r>
      <w:r w:rsidR="007C4557" w:rsidRPr="00540996">
        <w:rPr>
          <w:rFonts w:ascii="Verdana" w:hAnsi="Verdana" w:cs="Arial"/>
          <w:sz w:val="20"/>
          <w:szCs w:val="20"/>
          <w:lang w:val="tr-TR"/>
        </w:rPr>
        <w:t xml:space="preserve">cünü tam 50 yıldır müşterilerinin güveni ve sadakatinden almaktadır. Aksigorta müşterilerine 600 çalışanı, 1,500 uzman acentesi, 800 üzerindeki Akbank şubesi ve </w:t>
      </w:r>
      <w:r w:rsidR="006C3D9E" w:rsidRPr="00540996">
        <w:rPr>
          <w:rFonts w:ascii="Verdana" w:hAnsi="Verdana" w:cs="Arial"/>
          <w:sz w:val="20"/>
          <w:szCs w:val="20"/>
          <w:lang w:val="tr-TR"/>
        </w:rPr>
        <w:t xml:space="preserve">2,500’ü aşkın </w:t>
      </w:r>
      <w:r w:rsidR="007C4557" w:rsidRPr="00540996">
        <w:rPr>
          <w:rFonts w:ascii="Verdana" w:hAnsi="Verdana" w:cs="Arial"/>
          <w:sz w:val="20"/>
          <w:szCs w:val="20"/>
          <w:lang w:val="tr-TR"/>
        </w:rPr>
        <w:t>anlaşmalı kurum ağı ile tüm Türkiye’de hizmet vermektedir.</w:t>
      </w:r>
    </w:p>
    <w:p w:rsidR="00FB5AB3" w:rsidRPr="00540996" w:rsidRDefault="00FB5AB3" w:rsidP="007C4557">
      <w:pPr>
        <w:rPr>
          <w:rFonts w:ascii="Verdana" w:hAnsi="Verdana" w:cs="Arial"/>
          <w:sz w:val="20"/>
          <w:szCs w:val="20"/>
          <w:lang w:val="tr-TR"/>
        </w:rPr>
      </w:pPr>
    </w:p>
    <w:p w:rsidR="00146DA1" w:rsidRPr="00540996" w:rsidRDefault="001D3040" w:rsidP="00146DA1">
      <w:pPr>
        <w:numPr>
          <w:ilvl w:val="0"/>
          <w:numId w:val="10"/>
        </w:numPr>
        <w:rPr>
          <w:rFonts w:ascii="Verdana" w:hAnsi="Verdana" w:cs="Arial"/>
          <w:b/>
          <w:sz w:val="20"/>
          <w:szCs w:val="20"/>
          <w:lang w:val="tr-TR"/>
        </w:rPr>
      </w:pPr>
      <w:r w:rsidRPr="00540996">
        <w:rPr>
          <w:rFonts w:ascii="Verdana" w:hAnsi="Verdana" w:cs="Arial"/>
          <w:b/>
          <w:sz w:val="20"/>
          <w:szCs w:val="20"/>
          <w:lang w:val="tr-TR"/>
        </w:rPr>
        <w:t>Sabancı Holding Aksigorta’nın iştiraklerini devralmak</w:t>
      </w:r>
      <w:r w:rsidR="00BA6492" w:rsidRPr="00540996">
        <w:rPr>
          <w:rFonts w:ascii="Verdana" w:hAnsi="Verdana" w:cs="Arial"/>
          <w:b/>
          <w:sz w:val="20"/>
          <w:szCs w:val="20"/>
          <w:lang w:val="tr-TR"/>
        </w:rPr>
        <w:t>la</w:t>
      </w:r>
      <w:r w:rsidRPr="00540996">
        <w:rPr>
          <w:rFonts w:ascii="Verdana" w:hAnsi="Verdana" w:cs="Arial"/>
          <w:b/>
          <w:sz w:val="20"/>
          <w:szCs w:val="20"/>
          <w:lang w:val="tr-TR"/>
        </w:rPr>
        <w:t xml:space="preserve"> firmayı portföy şirketi konumundan çıkarmış ve </w:t>
      </w:r>
      <w:r w:rsidR="00B31A25" w:rsidRPr="00540996">
        <w:rPr>
          <w:rFonts w:ascii="Verdana" w:hAnsi="Verdana" w:cs="Arial"/>
          <w:b/>
          <w:sz w:val="20"/>
          <w:szCs w:val="20"/>
          <w:lang w:val="tr-TR"/>
        </w:rPr>
        <w:t xml:space="preserve">şirketi sadeleştirerek yalnızca, </w:t>
      </w:r>
      <w:r w:rsidRPr="00540996">
        <w:rPr>
          <w:rFonts w:ascii="Verdana" w:hAnsi="Verdana" w:cs="Arial"/>
          <w:b/>
          <w:sz w:val="20"/>
          <w:szCs w:val="20"/>
          <w:lang w:val="tr-TR"/>
        </w:rPr>
        <w:t>sigortacılık faaliyetle</w:t>
      </w:r>
      <w:r w:rsidR="00B31A25" w:rsidRPr="00540996">
        <w:rPr>
          <w:rFonts w:ascii="Verdana" w:hAnsi="Verdana" w:cs="Arial"/>
          <w:b/>
          <w:sz w:val="20"/>
          <w:szCs w:val="20"/>
          <w:lang w:val="tr-TR"/>
        </w:rPr>
        <w:t xml:space="preserve">rini </w:t>
      </w:r>
      <w:r w:rsidRPr="00540996">
        <w:rPr>
          <w:rFonts w:ascii="Verdana" w:hAnsi="Verdana" w:cs="Arial"/>
          <w:b/>
          <w:sz w:val="20"/>
          <w:szCs w:val="20"/>
          <w:lang w:val="tr-TR"/>
        </w:rPr>
        <w:t xml:space="preserve">neticesini duruma </w:t>
      </w:r>
      <w:r w:rsidR="00BA6492" w:rsidRPr="00540996">
        <w:rPr>
          <w:rFonts w:ascii="Verdana" w:hAnsi="Verdana" w:cs="Arial"/>
          <w:b/>
          <w:sz w:val="20"/>
          <w:szCs w:val="20"/>
          <w:lang w:val="tr-TR"/>
        </w:rPr>
        <w:t>getirmiştir</w:t>
      </w:r>
      <w:r w:rsidRPr="00540996">
        <w:rPr>
          <w:rFonts w:ascii="Verdana" w:hAnsi="Verdana" w:cs="Arial"/>
          <w:b/>
          <w:sz w:val="20"/>
          <w:szCs w:val="20"/>
          <w:lang w:val="tr-TR"/>
        </w:rPr>
        <w:t xml:space="preserve">. </w:t>
      </w:r>
      <w:r w:rsidR="007C4557" w:rsidRPr="00540996">
        <w:rPr>
          <w:rFonts w:ascii="Verdana" w:hAnsi="Verdana" w:cs="Arial"/>
          <w:b/>
          <w:sz w:val="20"/>
          <w:szCs w:val="20"/>
          <w:lang w:val="tr-TR"/>
        </w:rPr>
        <w:t>Aksigorta</w:t>
      </w:r>
      <w:r w:rsidR="006C3D9E" w:rsidRPr="00540996">
        <w:rPr>
          <w:rFonts w:ascii="Verdana" w:hAnsi="Verdana" w:cs="Arial"/>
          <w:b/>
          <w:sz w:val="20"/>
          <w:szCs w:val="20"/>
          <w:lang w:val="tr-TR"/>
        </w:rPr>
        <w:t>’daki</w:t>
      </w:r>
      <w:r w:rsidR="007C4557" w:rsidRPr="00540996">
        <w:rPr>
          <w:rFonts w:ascii="Verdana" w:hAnsi="Verdana" w:cs="Arial"/>
          <w:b/>
          <w:sz w:val="20"/>
          <w:szCs w:val="20"/>
          <w:lang w:val="tr-TR"/>
        </w:rPr>
        <w:t xml:space="preserve"> kısmi bölünmenin  (spin off) amacı </w:t>
      </w:r>
      <w:r w:rsidR="00146DA1" w:rsidRPr="00540996">
        <w:rPr>
          <w:rFonts w:ascii="Verdana" w:hAnsi="Verdana" w:cs="Arial"/>
          <w:b/>
          <w:sz w:val="20"/>
          <w:szCs w:val="20"/>
          <w:lang w:val="tr-TR"/>
        </w:rPr>
        <w:t>şirketi satışa çıkarmak değil aksine sigortacılık değerini ön plana çıkarmaktır.</w:t>
      </w:r>
    </w:p>
    <w:p w:rsidR="00146DA1" w:rsidRPr="00540996" w:rsidRDefault="00146DA1" w:rsidP="00146DA1">
      <w:pPr>
        <w:rPr>
          <w:rFonts w:ascii="Verdana" w:hAnsi="Verdana" w:cs="Arial"/>
          <w:sz w:val="20"/>
          <w:szCs w:val="20"/>
          <w:lang w:val="tr-TR"/>
        </w:rPr>
      </w:pPr>
    </w:p>
    <w:p w:rsidR="00BA6492" w:rsidRPr="00540996" w:rsidRDefault="00BA6492" w:rsidP="00BA6492">
      <w:pPr>
        <w:numPr>
          <w:ilvl w:val="0"/>
          <w:numId w:val="10"/>
        </w:numPr>
        <w:rPr>
          <w:rFonts w:ascii="Verdana" w:hAnsi="Verdana" w:cs="Arial"/>
          <w:sz w:val="20"/>
          <w:szCs w:val="20"/>
          <w:lang w:val="tr-TR"/>
        </w:rPr>
      </w:pPr>
      <w:r w:rsidRPr="00540996">
        <w:rPr>
          <w:rFonts w:ascii="Verdana" w:hAnsi="Verdana" w:cs="Arial"/>
          <w:sz w:val="20"/>
          <w:szCs w:val="20"/>
          <w:lang w:val="tr-TR"/>
        </w:rPr>
        <w:t xml:space="preserve">Kısmi bölünme sonrasında da Aksigorta, güçlü öz kaynak yapısıyla sigorta sektöründeki pozisyonunu daha da güçlendirmeye odaklanacaktır. </w:t>
      </w:r>
    </w:p>
    <w:p w:rsidR="00E53C85" w:rsidRPr="00540996" w:rsidRDefault="00E53C85" w:rsidP="00E53C85">
      <w:pPr>
        <w:pStyle w:val="ListeParagraf"/>
        <w:rPr>
          <w:rFonts w:ascii="Verdana" w:hAnsi="Verdana" w:cs="Arial"/>
          <w:sz w:val="20"/>
          <w:szCs w:val="20"/>
          <w:lang w:val="tr-TR"/>
        </w:rPr>
      </w:pPr>
    </w:p>
    <w:p w:rsidR="00AE38D6" w:rsidRPr="00540996" w:rsidRDefault="00AE38D6" w:rsidP="00E53C85">
      <w:pPr>
        <w:pStyle w:val="ListeParagraf"/>
        <w:rPr>
          <w:rFonts w:ascii="Verdana" w:hAnsi="Verdana" w:cs="Arial"/>
          <w:b/>
          <w:sz w:val="20"/>
          <w:szCs w:val="20"/>
          <w:lang w:val="tr-TR"/>
        </w:rPr>
      </w:pPr>
      <w:r w:rsidRPr="00540996">
        <w:rPr>
          <w:rFonts w:ascii="Verdana" w:hAnsi="Verdana" w:cs="Arial"/>
          <w:b/>
          <w:sz w:val="20"/>
          <w:szCs w:val="20"/>
          <w:lang w:val="tr-TR"/>
        </w:rPr>
        <w:t>AKSIGORTA 2010 STRATEJİLERİ</w:t>
      </w:r>
    </w:p>
    <w:p w:rsidR="00AE38D6" w:rsidRPr="00540996" w:rsidRDefault="00AE38D6" w:rsidP="00AE38D6">
      <w:pPr>
        <w:pStyle w:val="ListeParagraf"/>
        <w:numPr>
          <w:ilvl w:val="1"/>
          <w:numId w:val="12"/>
        </w:numPr>
        <w:ind w:left="1068"/>
        <w:rPr>
          <w:rFonts w:ascii="Verdana" w:hAnsi="Verdana" w:cs="Arial"/>
          <w:b/>
          <w:sz w:val="20"/>
          <w:szCs w:val="20"/>
          <w:lang w:val="tr-TR"/>
        </w:rPr>
      </w:pPr>
      <w:r w:rsidRPr="00540996">
        <w:rPr>
          <w:rFonts w:ascii="Verdana" w:hAnsi="Verdana" w:cs="Arial"/>
          <w:b/>
          <w:sz w:val="20"/>
          <w:szCs w:val="20"/>
          <w:lang w:val="tr-TR"/>
        </w:rPr>
        <w:t>Acenteler ve banka kanalına yatırım yapmaya ve büyümeye devam edecektir.</w:t>
      </w:r>
    </w:p>
    <w:p w:rsidR="00AE38D6" w:rsidRPr="00540996" w:rsidRDefault="00AE38D6" w:rsidP="00AE38D6">
      <w:pPr>
        <w:pStyle w:val="ListeParagraf"/>
        <w:ind w:left="-372"/>
        <w:rPr>
          <w:rFonts w:ascii="Verdana" w:hAnsi="Verdana" w:cs="Arial"/>
          <w:b/>
          <w:sz w:val="20"/>
          <w:szCs w:val="20"/>
          <w:lang w:val="tr-TR"/>
        </w:rPr>
      </w:pPr>
    </w:p>
    <w:p w:rsidR="00AE38D6" w:rsidRPr="00540996" w:rsidRDefault="00AE38D6" w:rsidP="00AE38D6">
      <w:pPr>
        <w:pStyle w:val="ListeParagraf"/>
        <w:numPr>
          <w:ilvl w:val="1"/>
          <w:numId w:val="12"/>
        </w:numPr>
        <w:ind w:left="1068"/>
        <w:rPr>
          <w:rFonts w:ascii="Verdana" w:hAnsi="Verdana" w:cs="Arial"/>
          <w:b/>
          <w:sz w:val="20"/>
          <w:szCs w:val="20"/>
          <w:lang w:val="tr-TR"/>
        </w:rPr>
      </w:pPr>
      <w:r w:rsidRPr="00540996">
        <w:rPr>
          <w:rFonts w:ascii="Verdana" w:hAnsi="Verdana" w:cs="Arial"/>
          <w:b/>
          <w:sz w:val="20"/>
          <w:szCs w:val="20"/>
          <w:lang w:val="tr-TR"/>
        </w:rPr>
        <w:t>Toplumdaki risklerin farkındalığını artırmak ve sigorta bilincini yükseltmek ana hedeflerdir. (Yangın, iş durması veya kar kaybı gibi)</w:t>
      </w:r>
    </w:p>
    <w:p w:rsidR="00AE38D6" w:rsidRPr="00540996" w:rsidRDefault="00AE38D6" w:rsidP="00AE38D6">
      <w:pPr>
        <w:pStyle w:val="ListeParagraf"/>
        <w:ind w:left="-372"/>
        <w:rPr>
          <w:rFonts w:ascii="Verdana" w:hAnsi="Verdana" w:cs="Arial"/>
          <w:b/>
          <w:sz w:val="20"/>
          <w:szCs w:val="20"/>
          <w:lang w:val="tr-TR"/>
        </w:rPr>
      </w:pPr>
    </w:p>
    <w:p w:rsidR="00AE38D6" w:rsidRPr="00540996" w:rsidRDefault="00AE38D6" w:rsidP="00AE38D6">
      <w:pPr>
        <w:pStyle w:val="ListeParagraf"/>
        <w:numPr>
          <w:ilvl w:val="1"/>
          <w:numId w:val="12"/>
        </w:numPr>
        <w:ind w:left="1068"/>
        <w:rPr>
          <w:rFonts w:ascii="Verdana" w:hAnsi="Verdana" w:cs="Arial"/>
          <w:b/>
          <w:sz w:val="20"/>
          <w:szCs w:val="20"/>
          <w:lang w:val="tr-TR"/>
        </w:rPr>
      </w:pPr>
      <w:r w:rsidRPr="00540996">
        <w:rPr>
          <w:rFonts w:ascii="Verdana" w:hAnsi="Verdana" w:cs="Arial"/>
          <w:b/>
          <w:sz w:val="20"/>
          <w:szCs w:val="20"/>
          <w:lang w:val="tr-TR"/>
        </w:rPr>
        <w:t>Müşteriyi tanımak ve ihtiyaçları ortaya çıkarmak için yatırım yapmak.</w:t>
      </w:r>
    </w:p>
    <w:p w:rsidR="00AE38D6" w:rsidRPr="00540996" w:rsidRDefault="00AE38D6" w:rsidP="00AE38D6">
      <w:pPr>
        <w:pStyle w:val="ListeParagraf"/>
        <w:ind w:left="-372"/>
        <w:rPr>
          <w:rFonts w:ascii="Verdana" w:hAnsi="Verdana" w:cs="Arial"/>
          <w:b/>
          <w:sz w:val="20"/>
          <w:szCs w:val="20"/>
          <w:lang w:val="tr-TR"/>
        </w:rPr>
      </w:pPr>
    </w:p>
    <w:p w:rsidR="00AE38D6" w:rsidRPr="00540996" w:rsidRDefault="00AE38D6" w:rsidP="00AE38D6">
      <w:pPr>
        <w:pStyle w:val="ListeParagraf"/>
        <w:numPr>
          <w:ilvl w:val="1"/>
          <w:numId w:val="12"/>
        </w:numPr>
        <w:ind w:left="1068"/>
        <w:rPr>
          <w:rFonts w:ascii="Verdana" w:hAnsi="Verdana" w:cs="Arial"/>
          <w:b/>
          <w:sz w:val="20"/>
          <w:szCs w:val="20"/>
          <w:lang w:val="tr-TR"/>
        </w:rPr>
      </w:pPr>
      <w:r w:rsidRPr="00540996">
        <w:rPr>
          <w:rFonts w:ascii="Verdana" w:hAnsi="Verdana" w:cs="Arial"/>
          <w:b/>
          <w:sz w:val="20"/>
          <w:szCs w:val="20"/>
          <w:lang w:val="tr-TR"/>
        </w:rPr>
        <w:t>Teknolojiye ve insana yatırımla, verimlilik artırmak ve maliyetleri kontrol altına almak.</w:t>
      </w:r>
    </w:p>
    <w:p w:rsidR="00AE38D6" w:rsidRPr="00540996" w:rsidRDefault="00AE38D6" w:rsidP="00AE38D6">
      <w:pPr>
        <w:pStyle w:val="ListeParagraf"/>
        <w:rPr>
          <w:rFonts w:ascii="Verdana" w:hAnsi="Verdana" w:cs="Arial"/>
          <w:sz w:val="20"/>
          <w:szCs w:val="20"/>
          <w:lang w:val="tr-TR"/>
        </w:rPr>
      </w:pPr>
    </w:p>
    <w:p w:rsidR="00AE38D6" w:rsidRPr="00540996" w:rsidRDefault="00AE38D6" w:rsidP="00AE38D6">
      <w:pPr>
        <w:pStyle w:val="ListeParagraf"/>
        <w:ind w:left="348"/>
        <w:rPr>
          <w:rFonts w:ascii="Verdana" w:hAnsi="Verdana" w:cs="Arial"/>
          <w:sz w:val="20"/>
          <w:szCs w:val="20"/>
          <w:lang w:val="tr-TR"/>
        </w:rPr>
      </w:pPr>
    </w:p>
    <w:p w:rsidR="00E53C85" w:rsidRPr="00540996" w:rsidRDefault="00E53C85" w:rsidP="00E53C85">
      <w:pPr>
        <w:numPr>
          <w:ilvl w:val="0"/>
          <w:numId w:val="10"/>
        </w:numPr>
        <w:rPr>
          <w:rFonts w:ascii="Verdana" w:hAnsi="Verdana" w:cs="Arial"/>
          <w:sz w:val="20"/>
          <w:szCs w:val="20"/>
          <w:lang w:val="tr-TR"/>
        </w:rPr>
      </w:pPr>
      <w:r w:rsidRPr="00540996">
        <w:rPr>
          <w:rFonts w:ascii="Verdana" w:hAnsi="Verdana" w:cs="Arial"/>
          <w:sz w:val="20"/>
          <w:szCs w:val="20"/>
          <w:u w:val="single"/>
          <w:lang w:val="tr-TR"/>
        </w:rPr>
        <w:t>AvivaSA hakkında:</w:t>
      </w:r>
      <w:r w:rsidRPr="00540996">
        <w:rPr>
          <w:rFonts w:ascii="Verdana" w:hAnsi="Verdana" w:cs="Arial"/>
          <w:sz w:val="20"/>
          <w:szCs w:val="20"/>
          <w:lang w:val="tr-TR"/>
        </w:rPr>
        <w:t xml:space="preserve"> AK Emeklilik ile Aviva Hayat ve Emeklilik’in birleşmesiyle 1 Kasım 2007 tarihinde kurulmuştur. Bugün gelinen noktada 49.7%’şer oranda Aviva plc. ve Sabancı Holding’in payı bulunan AvivaSA’nın ödenmiş sermayesi 36 milyon TL’dir. 7</w:t>
      </w:r>
      <w:r w:rsidR="00B31A25" w:rsidRPr="00540996">
        <w:rPr>
          <w:rFonts w:ascii="Verdana" w:hAnsi="Verdana" w:cs="Arial"/>
          <w:sz w:val="20"/>
          <w:szCs w:val="20"/>
          <w:lang w:val="tr-TR"/>
        </w:rPr>
        <w:t>50</w:t>
      </w:r>
      <w:r w:rsidRPr="00540996">
        <w:rPr>
          <w:rFonts w:ascii="Verdana" w:hAnsi="Verdana" w:cs="Arial"/>
          <w:sz w:val="20"/>
          <w:szCs w:val="20"/>
          <w:lang w:val="tr-TR"/>
        </w:rPr>
        <w:t>’</w:t>
      </w:r>
      <w:r w:rsidR="00B31A25" w:rsidRPr="00540996">
        <w:rPr>
          <w:rFonts w:ascii="Verdana" w:hAnsi="Verdana" w:cs="Arial"/>
          <w:sz w:val="20"/>
          <w:szCs w:val="20"/>
          <w:lang w:val="tr-TR"/>
        </w:rPr>
        <w:t>s</w:t>
      </w:r>
      <w:r w:rsidRPr="00540996">
        <w:rPr>
          <w:rFonts w:ascii="Verdana" w:hAnsi="Verdana" w:cs="Arial"/>
          <w:sz w:val="20"/>
          <w:szCs w:val="20"/>
          <w:lang w:val="tr-TR"/>
        </w:rPr>
        <w:t>i satış kadrosu</w:t>
      </w:r>
      <w:r w:rsidR="00B31A25" w:rsidRPr="00540996">
        <w:rPr>
          <w:rFonts w:ascii="Verdana" w:hAnsi="Verdana" w:cs="Arial"/>
          <w:sz w:val="20"/>
          <w:szCs w:val="20"/>
          <w:lang w:val="tr-TR"/>
        </w:rPr>
        <w:t>nda yer almak üzere toplam 1.300</w:t>
      </w:r>
      <w:r w:rsidRPr="00540996">
        <w:rPr>
          <w:rFonts w:ascii="Verdana" w:hAnsi="Verdana" w:cs="Arial"/>
          <w:sz w:val="20"/>
          <w:szCs w:val="20"/>
          <w:lang w:val="tr-TR"/>
        </w:rPr>
        <w:t xml:space="preserve"> çalışanı, bireysel emeklilik ürünlerinde 310</w:t>
      </w:r>
      <w:r w:rsidR="00BA6492" w:rsidRPr="00540996">
        <w:rPr>
          <w:rFonts w:ascii="Verdana" w:hAnsi="Verdana" w:cs="Arial"/>
          <w:sz w:val="20"/>
          <w:szCs w:val="20"/>
          <w:lang w:val="tr-TR"/>
        </w:rPr>
        <w:t xml:space="preserve"> bine</w:t>
      </w:r>
      <w:r w:rsidRPr="00540996">
        <w:rPr>
          <w:rFonts w:ascii="Verdana" w:hAnsi="Verdana" w:cs="Arial"/>
          <w:sz w:val="20"/>
          <w:szCs w:val="20"/>
          <w:lang w:val="tr-TR"/>
        </w:rPr>
        <w:t xml:space="preserve"> yakın müşterisi bulunmaktadır.</w:t>
      </w:r>
    </w:p>
    <w:p w:rsidR="00E53C85" w:rsidRPr="00540996" w:rsidRDefault="00E53C85" w:rsidP="00E53C85">
      <w:pPr>
        <w:ind w:left="360"/>
        <w:rPr>
          <w:rFonts w:ascii="Verdana" w:hAnsi="Verdana" w:cs="Arial"/>
          <w:sz w:val="20"/>
          <w:szCs w:val="20"/>
          <w:lang w:val="tr-TR"/>
        </w:rPr>
      </w:pPr>
    </w:p>
    <w:p w:rsidR="00E53C85" w:rsidRPr="00540996" w:rsidRDefault="00E53C85" w:rsidP="00E53C85">
      <w:pPr>
        <w:ind w:left="360"/>
        <w:rPr>
          <w:rFonts w:ascii="Verdana" w:hAnsi="Verdana" w:cs="Arial"/>
          <w:sz w:val="20"/>
          <w:szCs w:val="20"/>
          <w:lang w:val="tr-TR"/>
        </w:rPr>
      </w:pPr>
      <w:r w:rsidRPr="00540996">
        <w:rPr>
          <w:rFonts w:ascii="Verdana" w:hAnsi="Verdana" w:cs="Arial"/>
          <w:sz w:val="20"/>
          <w:szCs w:val="20"/>
          <w:lang w:val="tr-TR"/>
        </w:rPr>
        <w:t>Bankadan direkt satış, direkt s</w:t>
      </w:r>
      <w:r w:rsidR="00733098" w:rsidRPr="00540996">
        <w:rPr>
          <w:rFonts w:ascii="Verdana" w:hAnsi="Verdana" w:cs="Arial"/>
          <w:sz w:val="20"/>
          <w:szCs w:val="20"/>
          <w:lang w:val="tr-TR"/>
        </w:rPr>
        <w:t>atış, banka tarafından satış, acenteler, k</w:t>
      </w:r>
      <w:r w:rsidRPr="00540996">
        <w:rPr>
          <w:rFonts w:ascii="Verdana" w:hAnsi="Verdana" w:cs="Arial"/>
          <w:sz w:val="20"/>
          <w:szCs w:val="20"/>
          <w:lang w:val="tr-TR"/>
        </w:rPr>
        <w:t xml:space="preserve">urumsal </w:t>
      </w:r>
      <w:r w:rsidR="00733098" w:rsidRPr="00540996">
        <w:rPr>
          <w:rFonts w:ascii="Verdana" w:hAnsi="Verdana" w:cs="Arial"/>
          <w:sz w:val="20"/>
          <w:szCs w:val="20"/>
          <w:lang w:val="tr-TR"/>
        </w:rPr>
        <w:t>satış</w:t>
      </w:r>
      <w:r w:rsidRPr="00540996">
        <w:rPr>
          <w:rFonts w:ascii="Verdana" w:hAnsi="Verdana" w:cs="Arial"/>
          <w:sz w:val="20"/>
          <w:szCs w:val="20"/>
          <w:lang w:val="tr-TR"/>
        </w:rPr>
        <w:t xml:space="preserve"> ve Telemarketing gibi dağıtım kanalları bulunan AvivaSA’nın fonları AK Portföy tarafından yönetilmektedir. 4 Ocak 2010 itibarıyla AvivaSA, </w:t>
      </w:r>
      <w:r w:rsidR="00733098" w:rsidRPr="00540996">
        <w:rPr>
          <w:rFonts w:ascii="Verdana" w:hAnsi="Verdana" w:cs="Arial"/>
          <w:sz w:val="20"/>
          <w:szCs w:val="20"/>
          <w:lang w:val="tr-TR"/>
        </w:rPr>
        <w:t>yaklaşık</w:t>
      </w:r>
      <w:r w:rsidRPr="00540996">
        <w:rPr>
          <w:rFonts w:ascii="Verdana" w:hAnsi="Verdana" w:cs="Arial"/>
          <w:sz w:val="20"/>
          <w:szCs w:val="20"/>
          <w:lang w:val="tr-TR"/>
        </w:rPr>
        <w:t xml:space="preserve"> 2 milyar TL bireysel emeklilik fon büyüklüğü ve 22</w:t>
      </w:r>
      <w:r w:rsidR="00733098" w:rsidRPr="00540996">
        <w:rPr>
          <w:rFonts w:ascii="Verdana" w:hAnsi="Verdana" w:cs="Arial"/>
          <w:sz w:val="20"/>
          <w:szCs w:val="20"/>
          <w:lang w:val="tr-TR"/>
        </w:rPr>
        <w:t>%</w:t>
      </w:r>
      <w:r w:rsidRPr="00540996">
        <w:rPr>
          <w:rFonts w:ascii="Verdana" w:hAnsi="Verdana" w:cs="Arial"/>
          <w:sz w:val="20"/>
          <w:szCs w:val="20"/>
          <w:lang w:val="tr-TR"/>
        </w:rPr>
        <w:t xml:space="preserve"> pay ile pazar liderliğine sahiptir.</w:t>
      </w:r>
    </w:p>
    <w:p w:rsidR="00E53C85" w:rsidRPr="00540996" w:rsidRDefault="00E53C85" w:rsidP="00E53C85">
      <w:pPr>
        <w:pStyle w:val="ListeParagraf"/>
        <w:rPr>
          <w:rFonts w:ascii="Verdana" w:hAnsi="Verdana" w:cs="Arial"/>
          <w:sz w:val="20"/>
          <w:szCs w:val="20"/>
          <w:lang w:val="tr-TR"/>
        </w:rPr>
      </w:pPr>
    </w:p>
    <w:p w:rsidR="00734886" w:rsidRPr="00540996" w:rsidRDefault="00734886" w:rsidP="00734886">
      <w:pPr>
        <w:pStyle w:val="ListeParagraf"/>
        <w:rPr>
          <w:rFonts w:ascii="Verdana" w:hAnsi="Verdana" w:cs="Arial"/>
          <w:sz w:val="20"/>
          <w:szCs w:val="20"/>
        </w:rPr>
      </w:pPr>
    </w:p>
    <w:p w:rsidR="00AE38D6" w:rsidRPr="00540996" w:rsidRDefault="00AE38D6" w:rsidP="00AE38D6">
      <w:pPr>
        <w:pStyle w:val="ListeParagraf1"/>
        <w:ind w:left="708"/>
        <w:jc w:val="both"/>
        <w:rPr>
          <w:rFonts w:ascii="Verdana" w:eastAsia="Times New Roman" w:hAnsi="Verdana" w:cs="Arial"/>
          <w:b/>
          <w:sz w:val="20"/>
          <w:szCs w:val="20"/>
        </w:rPr>
      </w:pPr>
      <w:r w:rsidRPr="00540996">
        <w:rPr>
          <w:rFonts w:ascii="Verdana" w:eastAsia="Times New Roman" w:hAnsi="Verdana" w:cs="Arial"/>
          <w:b/>
          <w:sz w:val="20"/>
          <w:szCs w:val="20"/>
        </w:rPr>
        <w:t>Aviva ile ortaklıktan son derece memnunuz.</w:t>
      </w:r>
    </w:p>
    <w:p w:rsidR="00AE38D6" w:rsidRPr="00540996" w:rsidRDefault="00AE38D6" w:rsidP="00AE38D6">
      <w:pPr>
        <w:pStyle w:val="ListeParagraf1"/>
        <w:ind w:left="348"/>
        <w:jc w:val="both"/>
        <w:rPr>
          <w:rFonts w:ascii="Verdana" w:eastAsia="Times New Roman" w:hAnsi="Verdana" w:cs="Arial"/>
          <w:b/>
          <w:sz w:val="20"/>
          <w:szCs w:val="20"/>
        </w:rPr>
      </w:pPr>
    </w:p>
    <w:p w:rsidR="00AE38D6" w:rsidRPr="00540996" w:rsidRDefault="00AE38D6" w:rsidP="00AE38D6">
      <w:pPr>
        <w:pStyle w:val="ListeParagraf1"/>
        <w:ind w:left="708"/>
        <w:jc w:val="both"/>
        <w:rPr>
          <w:rFonts w:ascii="Verdana" w:eastAsia="Times New Roman" w:hAnsi="Verdana" w:cs="Arial"/>
          <w:b/>
          <w:sz w:val="20"/>
          <w:szCs w:val="20"/>
        </w:rPr>
      </w:pPr>
      <w:r w:rsidRPr="00540996">
        <w:rPr>
          <w:rFonts w:ascii="Verdana" w:eastAsia="Times New Roman" w:hAnsi="Verdana" w:cs="Arial"/>
          <w:b/>
          <w:sz w:val="20"/>
          <w:szCs w:val="20"/>
        </w:rPr>
        <w:t>Pazar liderliği devam ediyor. Yerelde Sabancı, globalde Aviva ile güçlü ortaklık yapısı</w:t>
      </w:r>
    </w:p>
    <w:p w:rsidR="00AE38D6" w:rsidRPr="00540996" w:rsidRDefault="00AE38D6" w:rsidP="00AE38D6">
      <w:pPr>
        <w:pStyle w:val="ListeParagraf1"/>
        <w:ind w:left="348"/>
        <w:jc w:val="both"/>
        <w:rPr>
          <w:rFonts w:ascii="Verdana" w:eastAsia="Times New Roman" w:hAnsi="Verdana" w:cs="Arial"/>
          <w:b/>
          <w:sz w:val="20"/>
          <w:szCs w:val="20"/>
        </w:rPr>
      </w:pPr>
    </w:p>
    <w:p w:rsidR="00AE38D6" w:rsidRPr="00540996" w:rsidRDefault="00AE38D6" w:rsidP="00AE38D6">
      <w:pPr>
        <w:pStyle w:val="ListeParagraf"/>
        <w:rPr>
          <w:rFonts w:ascii="Verdana" w:hAnsi="Verdana" w:cs="Arial"/>
          <w:b/>
          <w:sz w:val="20"/>
          <w:szCs w:val="20"/>
          <w:lang w:val="tr-TR"/>
        </w:rPr>
      </w:pPr>
      <w:r w:rsidRPr="00540996">
        <w:rPr>
          <w:rFonts w:ascii="Verdana" w:hAnsi="Verdana" w:cs="Arial"/>
          <w:b/>
          <w:sz w:val="20"/>
          <w:szCs w:val="20"/>
          <w:lang w:val="tr-TR"/>
        </w:rPr>
        <w:t>AVIVASA 2010 STRATEJİLERİ</w:t>
      </w:r>
    </w:p>
    <w:p w:rsidR="00AE38D6" w:rsidRPr="00540996" w:rsidRDefault="00AE38D6" w:rsidP="00AE38D6">
      <w:pPr>
        <w:pStyle w:val="ListeParagraf1"/>
        <w:ind w:left="348"/>
        <w:jc w:val="both"/>
        <w:rPr>
          <w:rFonts w:ascii="Verdana" w:eastAsia="Times New Roman" w:hAnsi="Verdana" w:cs="Arial"/>
          <w:b/>
          <w:sz w:val="20"/>
          <w:szCs w:val="20"/>
        </w:rPr>
      </w:pPr>
    </w:p>
    <w:p w:rsidR="00AE38D6" w:rsidRPr="00540996" w:rsidRDefault="00AE38D6" w:rsidP="00AE38D6">
      <w:pPr>
        <w:pStyle w:val="ListeParagraf1"/>
        <w:numPr>
          <w:ilvl w:val="1"/>
          <w:numId w:val="13"/>
        </w:numPr>
        <w:ind w:left="1068"/>
        <w:jc w:val="both"/>
        <w:rPr>
          <w:rFonts w:ascii="Verdana" w:eastAsia="Times New Roman" w:hAnsi="Verdana" w:cs="Arial"/>
          <w:b/>
          <w:sz w:val="20"/>
          <w:szCs w:val="20"/>
        </w:rPr>
      </w:pPr>
      <w:r w:rsidRPr="00540996">
        <w:rPr>
          <w:rFonts w:ascii="Verdana" w:eastAsia="Times New Roman" w:hAnsi="Verdana" w:cs="Arial"/>
          <w:b/>
          <w:sz w:val="20"/>
          <w:szCs w:val="20"/>
        </w:rPr>
        <w:t>BES’deki 6 yılın ardından Müşteri Bağlılığı ve Memnuniyetine yatırım artarak devam edecek,</w:t>
      </w:r>
    </w:p>
    <w:p w:rsidR="00AE38D6" w:rsidRPr="00540996" w:rsidRDefault="00AE38D6" w:rsidP="00AE38D6">
      <w:pPr>
        <w:pStyle w:val="ListeParagraf1"/>
        <w:ind w:left="348"/>
        <w:jc w:val="both"/>
        <w:rPr>
          <w:rFonts w:ascii="Verdana" w:eastAsia="Times New Roman" w:hAnsi="Verdana" w:cs="Arial"/>
          <w:b/>
          <w:sz w:val="20"/>
          <w:szCs w:val="20"/>
        </w:rPr>
      </w:pPr>
    </w:p>
    <w:p w:rsidR="00AE38D6" w:rsidRPr="00540996" w:rsidRDefault="00AE38D6" w:rsidP="00AE38D6">
      <w:pPr>
        <w:pStyle w:val="ListeParagraf1"/>
        <w:numPr>
          <w:ilvl w:val="1"/>
          <w:numId w:val="13"/>
        </w:numPr>
        <w:ind w:left="1068"/>
        <w:jc w:val="both"/>
        <w:rPr>
          <w:rFonts w:ascii="Verdana" w:eastAsia="Times New Roman" w:hAnsi="Verdana" w:cs="Arial"/>
          <w:b/>
          <w:sz w:val="20"/>
          <w:szCs w:val="20"/>
        </w:rPr>
      </w:pPr>
      <w:r w:rsidRPr="00540996">
        <w:rPr>
          <w:rFonts w:ascii="Verdana" w:eastAsia="Times New Roman" w:hAnsi="Verdana" w:cs="Arial"/>
          <w:b/>
          <w:sz w:val="20"/>
          <w:szCs w:val="20"/>
        </w:rPr>
        <w:t>Toplumdaki tasarruf bilincinin artırılması ana hedef.</w:t>
      </w:r>
    </w:p>
    <w:p w:rsidR="00AE38D6" w:rsidRPr="00540996" w:rsidRDefault="00AE38D6" w:rsidP="00AE38D6">
      <w:pPr>
        <w:pStyle w:val="ListeParagraf1"/>
        <w:ind w:left="348"/>
        <w:jc w:val="both"/>
        <w:rPr>
          <w:rFonts w:ascii="Verdana" w:eastAsia="Times New Roman" w:hAnsi="Verdana" w:cs="Arial"/>
          <w:b/>
          <w:sz w:val="20"/>
          <w:szCs w:val="20"/>
        </w:rPr>
      </w:pPr>
    </w:p>
    <w:p w:rsidR="00734886" w:rsidRPr="00540996" w:rsidRDefault="00AE38D6" w:rsidP="00AE38D6">
      <w:pPr>
        <w:pStyle w:val="ListeParagraf1"/>
        <w:numPr>
          <w:ilvl w:val="1"/>
          <w:numId w:val="13"/>
        </w:numPr>
        <w:ind w:left="1068"/>
        <w:jc w:val="both"/>
        <w:rPr>
          <w:rFonts w:ascii="Verdana" w:eastAsia="Times New Roman" w:hAnsi="Verdana" w:cs="Arial"/>
          <w:b/>
          <w:sz w:val="20"/>
          <w:szCs w:val="20"/>
        </w:rPr>
      </w:pPr>
      <w:r w:rsidRPr="00540996">
        <w:rPr>
          <w:rFonts w:ascii="Verdana" w:eastAsia="Times New Roman" w:hAnsi="Verdana" w:cs="Arial"/>
          <w:b/>
          <w:sz w:val="20"/>
          <w:szCs w:val="20"/>
        </w:rPr>
        <w:t>Banka sigortacılığında yaygınlaşma ve uzmanlaşma,</w:t>
      </w:r>
    </w:p>
    <w:p w:rsidR="00B91A68" w:rsidRPr="00540996" w:rsidRDefault="00112AB9" w:rsidP="00B91A68">
      <w:pPr>
        <w:pStyle w:val="ListeParagraf"/>
        <w:rPr>
          <w:rFonts w:ascii="Verdana" w:hAnsi="Verdana" w:cs="Arial"/>
          <w:sz w:val="20"/>
          <w:szCs w:val="20"/>
          <w:lang w:val="tr-TR"/>
        </w:rPr>
      </w:pPr>
      <w:r w:rsidRPr="00540996">
        <w:rPr>
          <w:rFonts w:ascii="Verdana" w:hAnsi="Verdana" w:cs="Arial"/>
          <w:sz w:val="20"/>
          <w:szCs w:val="20"/>
          <w:lang w:val="tr-TR"/>
        </w:rPr>
        <w:br w:type="page"/>
      </w:r>
    </w:p>
    <w:p w:rsidR="00B91A68" w:rsidRPr="00540996" w:rsidRDefault="00DE0C61" w:rsidP="00B91A68">
      <w:pPr>
        <w:pStyle w:val="ListeParagraf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Verdana" w:hAnsi="Verdana"/>
          <w:b/>
          <w:sz w:val="20"/>
          <w:szCs w:val="20"/>
        </w:rPr>
      </w:pPr>
      <w:r w:rsidRPr="00540996">
        <w:rPr>
          <w:rFonts w:ascii="Verdana" w:hAnsi="Verdana"/>
          <w:b/>
          <w:sz w:val="20"/>
          <w:szCs w:val="20"/>
        </w:rPr>
        <w:lastRenderedPageBreak/>
        <w:t>YENİ DÖNEM SİGORTA PAZARI</w:t>
      </w:r>
    </w:p>
    <w:p w:rsidR="00B91A68" w:rsidRPr="00540996" w:rsidRDefault="00B91A68" w:rsidP="00B91A68">
      <w:pPr>
        <w:pStyle w:val="ListeParagraf1"/>
        <w:ind w:left="0"/>
        <w:jc w:val="both"/>
        <w:rPr>
          <w:rFonts w:ascii="Verdana" w:eastAsia="Times New Roman" w:hAnsi="Verdana" w:cs="Arial"/>
          <w:sz w:val="20"/>
          <w:szCs w:val="20"/>
        </w:rPr>
      </w:pPr>
    </w:p>
    <w:p w:rsidR="00214ABA" w:rsidRPr="00540996" w:rsidRDefault="00850C0B" w:rsidP="00734886">
      <w:pPr>
        <w:pStyle w:val="ListeParagraf1"/>
        <w:numPr>
          <w:ilvl w:val="0"/>
          <w:numId w:val="10"/>
        </w:numPr>
        <w:rPr>
          <w:rFonts w:ascii="Verdana" w:eastAsia="Times New Roman" w:hAnsi="Verdana" w:cs="Arial"/>
          <w:sz w:val="20"/>
          <w:szCs w:val="20"/>
        </w:rPr>
      </w:pPr>
      <w:r w:rsidRPr="00540996">
        <w:rPr>
          <w:rFonts w:ascii="Verdana" w:eastAsia="Times New Roman" w:hAnsi="Verdana" w:cs="Arial"/>
          <w:sz w:val="20"/>
          <w:szCs w:val="20"/>
        </w:rPr>
        <w:t xml:space="preserve">Dünya </w:t>
      </w:r>
      <w:r w:rsidR="00073FA1" w:rsidRPr="00540996">
        <w:rPr>
          <w:rFonts w:ascii="Verdana" w:eastAsia="Times New Roman" w:hAnsi="Verdana" w:cs="Arial"/>
          <w:sz w:val="20"/>
          <w:szCs w:val="20"/>
        </w:rPr>
        <w:t>sigorta sektöründe</w:t>
      </w:r>
      <w:r w:rsidRPr="00540996">
        <w:rPr>
          <w:rFonts w:ascii="Verdana" w:eastAsia="Times New Roman" w:hAnsi="Verdana" w:cs="Arial"/>
          <w:sz w:val="20"/>
          <w:szCs w:val="20"/>
        </w:rPr>
        <w:t xml:space="preserve"> krizle birlikte sermaye yönetimi şirketlerin odak noktası durumuna gelmiştir. Avrupa’da </w:t>
      </w:r>
      <w:r w:rsidR="00214ABA" w:rsidRPr="00540996">
        <w:rPr>
          <w:rFonts w:ascii="Verdana" w:eastAsia="Times New Roman" w:hAnsi="Verdana" w:cs="Arial"/>
          <w:sz w:val="20"/>
          <w:szCs w:val="20"/>
        </w:rPr>
        <w:t xml:space="preserve">yeni dönemde </w:t>
      </w:r>
      <w:r w:rsidR="00E32B75" w:rsidRPr="00540996">
        <w:rPr>
          <w:rFonts w:ascii="Verdana" w:eastAsia="Times New Roman" w:hAnsi="Verdana" w:cs="Arial"/>
          <w:sz w:val="20"/>
          <w:szCs w:val="20"/>
        </w:rPr>
        <w:t>sermaye yeterlilik</w:t>
      </w:r>
      <w:r w:rsidR="00214ABA" w:rsidRPr="00540996">
        <w:rPr>
          <w:rFonts w:ascii="Verdana" w:eastAsia="Times New Roman" w:hAnsi="Verdana" w:cs="Arial"/>
          <w:sz w:val="20"/>
          <w:szCs w:val="20"/>
        </w:rPr>
        <w:t xml:space="preserve"> uygulamaları ve daha etkin risk yönetim konuları gündemdedir.</w:t>
      </w:r>
    </w:p>
    <w:p w:rsidR="00214ABA" w:rsidRPr="00540996" w:rsidRDefault="00214ABA" w:rsidP="00734886">
      <w:pPr>
        <w:pStyle w:val="ListeParagraf1"/>
        <w:rPr>
          <w:rFonts w:ascii="Verdana" w:eastAsia="Times New Roman" w:hAnsi="Verdana" w:cs="Arial"/>
          <w:sz w:val="20"/>
          <w:szCs w:val="20"/>
        </w:rPr>
      </w:pPr>
    </w:p>
    <w:p w:rsidR="00214ABA" w:rsidRPr="00540996" w:rsidRDefault="00214ABA" w:rsidP="00734886">
      <w:pPr>
        <w:pStyle w:val="ListeParagraf1"/>
        <w:numPr>
          <w:ilvl w:val="0"/>
          <w:numId w:val="10"/>
        </w:numPr>
        <w:rPr>
          <w:rFonts w:ascii="Verdana" w:eastAsia="Times New Roman" w:hAnsi="Verdana" w:cs="Arial"/>
          <w:sz w:val="20"/>
          <w:szCs w:val="20"/>
        </w:rPr>
      </w:pPr>
      <w:r w:rsidRPr="00540996">
        <w:rPr>
          <w:rFonts w:ascii="Verdana" w:eastAsia="Times New Roman" w:hAnsi="Verdana" w:cs="Arial"/>
          <w:sz w:val="20"/>
          <w:szCs w:val="20"/>
        </w:rPr>
        <w:t>Ortaya çıkan düşük enflasyon ve faiz ortamı</w:t>
      </w:r>
      <w:r w:rsidR="00DA5249" w:rsidRPr="00540996">
        <w:rPr>
          <w:rFonts w:ascii="Verdana" w:eastAsia="Times New Roman" w:hAnsi="Verdana" w:cs="Arial"/>
          <w:sz w:val="20"/>
          <w:szCs w:val="20"/>
        </w:rPr>
        <w:t>nın</w:t>
      </w:r>
      <w:r w:rsidRPr="00540996">
        <w:rPr>
          <w:rFonts w:ascii="Verdana" w:eastAsia="Times New Roman" w:hAnsi="Verdana" w:cs="Arial"/>
          <w:sz w:val="20"/>
          <w:szCs w:val="20"/>
        </w:rPr>
        <w:t xml:space="preserve"> şirketlerin net </w:t>
      </w:r>
      <w:r w:rsidR="00DA5249" w:rsidRPr="00540996">
        <w:rPr>
          <w:rFonts w:ascii="Verdana" w:eastAsia="Times New Roman" w:hAnsi="Verdana" w:cs="Arial"/>
          <w:sz w:val="20"/>
          <w:szCs w:val="20"/>
        </w:rPr>
        <w:t>kararlığına olumsuz et</w:t>
      </w:r>
      <w:r w:rsidR="00E32B75" w:rsidRPr="00540996">
        <w:rPr>
          <w:rFonts w:ascii="Verdana" w:eastAsia="Times New Roman" w:hAnsi="Verdana" w:cs="Arial"/>
          <w:sz w:val="20"/>
          <w:szCs w:val="20"/>
        </w:rPr>
        <w:t>ki etmesinin yanı sıra firmaların</w:t>
      </w:r>
      <w:r w:rsidR="00DA5249" w:rsidRPr="00540996">
        <w:rPr>
          <w:rFonts w:ascii="Verdana" w:eastAsia="Times New Roman" w:hAnsi="Verdana" w:cs="Arial"/>
          <w:sz w:val="20"/>
          <w:szCs w:val="20"/>
        </w:rPr>
        <w:t xml:space="preserve"> fiyatlama ve </w:t>
      </w:r>
      <w:r w:rsidR="00E32B75" w:rsidRPr="00540996">
        <w:rPr>
          <w:rFonts w:ascii="Verdana" w:eastAsia="Times New Roman" w:hAnsi="Verdana" w:cs="Arial"/>
          <w:sz w:val="20"/>
          <w:szCs w:val="20"/>
        </w:rPr>
        <w:t>iş kabul uygulamalarına disiplin</w:t>
      </w:r>
      <w:r w:rsidR="00361F13" w:rsidRPr="00540996">
        <w:rPr>
          <w:rFonts w:ascii="Verdana" w:eastAsia="Times New Roman" w:hAnsi="Verdana" w:cs="Arial"/>
          <w:sz w:val="20"/>
          <w:szCs w:val="20"/>
        </w:rPr>
        <w:t xml:space="preserve"> getirmesi</w:t>
      </w:r>
      <w:r w:rsidR="00DA5249" w:rsidRPr="00540996">
        <w:rPr>
          <w:rFonts w:ascii="Verdana" w:eastAsia="Times New Roman" w:hAnsi="Verdana" w:cs="Arial"/>
          <w:sz w:val="20"/>
          <w:szCs w:val="20"/>
        </w:rPr>
        <w:t xml:space="preserve"> bek</w:t>
      </w:r>
      <w:r w:rsidR="00776D16" w:rsidRPr="00540996">
        <w:rPr>
          <w:rFonts w:ascii="Verdana" w:eastAsia="Times New Roman" w:hAnsi="Verdana" w:cs="Arial"/>
          <w:sz w:val="20"/>
          <w:szCs w:val="20"/>
        </w:rPr>
        <w:t>lenmektedir.</w:t>
      </w:r>
    </w:p>
    <w:p w:rsidR="00776D16" w:rsidRPr="00540996" w:rsidRDefault="00776D16" w:rsidP="00734886">
      <w:pPr>
        <w:pStyle w:val="ListeParagraf"/>
        <w:rPr>
          <w:rFonts w:ascii="Verdana" w:hAnsi="Verdana" w:cs="Arial"/>
          <w:sz w:val="20"/>
          <w:szCs w:val="20"/>
          <w:lang w:val="tr-TR"/>
        </w:rPr>
      </w:pPr>
    </w:p>
    <w:p w:rsidR="00661730" w:rsidRPr="00540996" w:rsidRDefault="0020267E" w:rsidP="00734886">
      <w:pPr>
        <w:pStyle w:val="ListeParagraf1"/>
        <w:numPr>
          <w:ilvl w:val="0"/>
          <w:numId w:val="10"/>
        </w:numPr>
        <w:rPr>
          <w:rFonts w:ascii="Verdana" w:eastAsia="Times New Roman" w:hAnsi="Verdana" w:cs="Arial"/>
          <w:sz w:val="20"/>
          <w:szCs w:val="20"/>
        </w:rPr>
      </w:pPr>
      <w:r w:rsidRPr="00540996">
        <w:rPr>
          <w:rFonts w:ascii="Verdana" w:eastAsia="Times New Roman" w:hAnsi="Verdana" w:cs="Arial"/>
          <w:sz w:val="20"/>
          <w:szCs w:val="20"/>
        </w:rPr>
        <w:t xml:space="preserve">Finansal krizin ortaya çıkmasıyla birlikte birçok gelişmiş </w:t>
      </w:r>
      <w:r w:rsidR="00361F13" w:rsidRPr="00540996">
        <w:rPr>
          <w:rFonts w:ascii="Verdana" w:eastAsia="Times New Roman" w:hAnsi="Verdana" w:cs="Arial"/>
          <w:sz w:val="20"/>
          <w:szCs w:val="20"/>
        </w:rPr>
        <w:t>B</w:t>
      </w:r>
      <w:r w:rsidRPr="00540996">
        <w:rPr>
          <w:rFonts w:ascii="Verdana" w:eastAsia="Times New Roman" w:hAnsi="Verdana" w:cs="Arial"/>
          <w:sz w:val="20"/>
          <w:szCs w:val="20"/>
        </w:rPr>
        <w:t xml:space="preserve">atı </w:t>
      </w:r>
      <w:r w:rsidR="00776D16" w:rsidRPr="00540996">
        <w:rPr>
          <w:rFonts w:ascii="Verdana" w:eastAsia="Times New Roman" w:hAnsi="Verdana" w:cs="Arial"/>
          <w:sz w:val="20"/>
          <w:szCs w:val="20"/>
        </w:rPr>
        <w:t>ekonomisi, oluşan şok dalgalarının</w:t>
      </w:r>
      <w:r w:rsidRPr="00540996">
        <w:rPr>
          <w:rFonts w:ascii="Verdana" w:eastAsia="Times New Roman" w:hAnsi="Verdana" w:cs="Arial"/>
          <w:sz w:val="20"/>
          <w:szCs w:val="20"/>
        </w:rPr>
        <w:t xml:space="preserve"> gelişmekte olan ekonomilere etkisinin yüksek olacağını varsayarak bu ülkelere yapmakta oldukları yatırım ve girişimleri</w:t>
      </w:r>
      <w:r w:rsidR="00776D16" w:rsidRPr="00540996">
        <w:rPr>
          <w:rFonts w:ascii="Verdana" w:eastAsia="Times New Roman" w:hAnsi="Verdana" w:cs="Arial"/>
          <w:sz w:val="20"/>
          <w:szCs w:val="20"/>
        </w:rPr>
        <w:t>ni</w:t>
      </w:r>
      <w:r w:rsidRPr="00540996">
        <w:rPr>
          <w:rFonts w:ascii="Verdana" w:eastAsia="Times New Roman" w:hAnsi="Verdana" w:cs="Arial"/>
          <w:sz w:val="20"/>
          <w:szCs w:val="20"/>
        </w:rPr>
        <w:t xml:space="preserve"> dondurmuş ve</w:t>
      </w:r>
      <w:r w:rsidR="00776D16" w:rsidRPr="00540996">
        <w:rPr>
          <w:rFonts w:ascii="Verdana" w:eastAsia="Times New Roman" w:hAnsi="Verdana" w:cs="Arial"/>
          <w:sz w:val="20"/>
          <w:szCs w:val="20"/>
        </w:rPr>
        <w:t>ya</w:t>
      </w:r>
      <w:r w:rsidRPr="00540996">
        <w:rPr>
          <w:rFonts w:ascii="Verdana" w:eastAsia="Times New Roman" w:hAnsi="Verdana" w:cs="Arial"/>
          <w:sz w:val="20"/>
          <w:szCs w:val="20"/>
        </w:rPr>
        <w:t xml:space="preserve"> geri çekmişti. </w:t>
      </w:r>
    </w:p>
    <w:p w:rsidR="00661730" w:rsidRPr="00540996" w:rsidRDefault="00661730" w:rsidP="00661730">
      <w:pPr>
        <w:pStyle w:val="ListeParagraf"/>
        <w:rPr>
          <w:rFonts w:ascii="Verdana" w:hAnsi="Verdana" w:cs="Arial"/>
          <w:sz w:val="20"/>
          <w:szCs w:val="20"/>
        </w:rPr>
      </w:pPr>
    </w:p>
    <w:p w:rsidR="0020267E" w:rsidRPr="00540996" w:rsidRDefault="0020267E" w:rsidP="00661730">
      <w:pPr>
        <w:pStyle w:val="ListeParagraf1"/>
        <w:ind w:left="360"/>
        <w:rPr>
          <w:rFonts w:ascii="Verdana" w:eastAsia="Times New Roman" w:hAnsi="Verdana" w:cs="Arial"/>
          <w:sz w:val="20"/>
          <w:szCs w:val="20"/>
        </w:rPr>
      </w:pPr>
      <w:r w:rsidRPr="00540996">
        <w:rPr>
          <w:rFonts w:ascii="Verdana" w:eastAsia="Times New Roman" w:hAnsi="Verdana" w:cs="Arial"/>
          <w:sz w:val="20"/>
          <w:szCs w:val="20"/>
        </w:rPr>
        <w:t xml:space="preserve">Ancak, krizin ilerlemesiyle bazı gelişmekte olan ülkelerin ekonomilerinin </w:t>
      </w:r>
      <w:r w:rsidR="00776D16" w:rsidRPr="00540996">
        <w:rPr>
          <w:rFonts w:ascii="Verdana" w:eastAsia="Times New Roman" w:hAnsi="Verdana" w:cs="Arial"/>
          <w:sz w:val="20"/>
          <w:szCs w:val="20"/>
        </w:rPr>
        <w:t xml:space="preserve">farz edilenden </w:t>
      </w:r>
      <w:r w:rsidRPr="00540996">
        <w:rPr>
          <w:rFonts w:ascii="Verdana" w:eastAsia="Times New Roman" w:hAnsi="Verdana" w:cs="Arial"/>
          <w:sz w:val="20"/>
          <w:szCs w:val="20"/>
        </w:rPr>
        <w:t xml:space="preserve">çok daha dayanıklı ve kuvvetli olduğu ortaya çıkmış ve </w:t>
      </w:r>
      <w:r w:rsidR="00361F13" w:rsidRPr="00540996">
        <w:rPr>
          <w:rFonts w:ascii="Verdana" w:eastAsia="Times New Roman" w:hAnsi="Verdana" w:cs="Arial"/>
          <w:sz w:val="20"/>
          <w:szCs w:val="20"/>
        </w:rPr>
        <w:t>B</w:t>
      </w:r>
      <w:r w:rsidRPr="00540996">
        <w:rPr>
          <w:rFonts w:ascii="Verdana" w:eastAsia="Times New Roman" w:hAnsi="Verdana" w:cs="Arial"/>
          <w:sz w:val="20"/>
          <w:szCs w:val="20"/>
        </w:rPr>
        <w:t>atılı ülkelerin bu ekonomilere olan yatırım iştahı tekrar artmıştır. Türkiye ve Polonya</w:t>
      </w:r>
      <w:r w:rsidR="00361F13" w:rsidRPr="00540996">
        <w:rPr>
          <w:rFonts w:ascii="Verdana" w:eastAsia="Times New Roman" w:hAnsi="Verdana" w:cs="Arial"/>
          <w:sz w:val="20"/>
          <w:szCs w:val="20"/>
        </w:rPr>
        <w:t>,</w:t>
      </w:r>
      <w:r w:rsidRPr="00540996">
        <w:rPr>
          <w:rFonts w:ascii="Verdana" w:eastAsia="Times New Roman" w:hAnsi="Verdana" w:cs="Arial"/>
          <w:sz w:val="20"/>
          <w:szCs w:val="20"/>
        </w:rPr>
        <w:t xml:space="preserve"> Avrupa’da bu sınıflamaya giren </w:t>
      </w:r>
      <w:r w:rsidR="00776D16" w:rsidRPr="00540996">
        <w:rPr>
          <w:rFonts w:ascii="Verdana" w:eastAsia="Times New Roman" w:hAnsi="Verdana" w:cs="Arial"/>
          <w:sz w:val="20"/>
          <w:szCs w:val="20"/>
        </w:rPr>
        <w:t xml:space="preserve">öncelikli </w:t>
      </w:r>
      <w:r w:rsidRPr="00540996">
        <w:rPr>
          <w:rFonts w:ascii="Verdana" w:eastAsia="Times New Roman" w:hAnsi="Verdana" w:cs="Arial"/>
          <w:sz w:val="20"/>
          <w:szCs w:val="20"/>
        </w:rPr>
        <w:t>ülkeler arasındadır</w:t>
      </w:r>
      <w:r w:rsidR="00850C0B" w:rsidRPr="00540996">
        <w:rPr>
          <w:rFonts w:ascii="Verdana" w:eastAsia="Times New Roman" w:hAnsi="Verdana" w:cs="Arial"/>
          <w:sz w:val="20"/>
          <w:szCs w:val="20"/>
        </w:rPr>
        <w:t>.</w:t>
      </w:r>
    </w:p>
    <w:p w:rsidR="0020267E" w:rsidRPr="00540996" w:rsidRDefault="0020267E" w:rsidP="0020267E">
      <w:pPr>
        <w:pStyle w:val="ListeParagraf1"/>
        <w:jc w:val="both"/>
        <w:rPr>
          <w:rFonts w:ascii="Verdana" w:eastAsia="Times New Roman" w:hAnsi="Verdana" w:cs="Arial"/>
          <w:sz w:val="20"/>
          <w:szCs w:val="20"/>
        </w:rPr>
      </w:pPr>
    </w:p>
    <w:p w:rsidR="00B16200" w:rsidRPr="00540996" w:rsidRDefault="00850C0B" w:rsidP="00734886">
      <w:pPr>
        <w:pStyle w:val="ListeParagraf1"/>
        <w:numPr>
          <w:ilvl w:val="0"/>
          <w:numId w:val="10"/>
        </w:numPr>
        <w:rPr>
          <w:rFonts w:ascii="Verdana" w:eastAsia="Times New Roman" w:hAnsi="Verdana" w:cs="Arial"/>
          <w:sz w:val="20"/>
          <w:szCs w:val="20"/>
        </w:rPr>
      </w:pPr>
      <w:r w:rsidRPr="00540996">
        <w:rPr>
          <w:rFonts w:ascii="Verdana" w:hAnsi="Verdana" w:cs="Arial"/>
          <w:sz w:val="20"/>
          <w:szCs w:val="20"/>
        </w:rPr>
        <w:t>D</w:t>
      </w:r>
      <w:r w:rsidR="00B16200" w:rsidRPr="00540996">
        <w:rPr>
          <w:rFonts w:ascii="Verdana" w:hAnsi="Verdana" w:cs="Arial"/>
          <w:sz w:val="20"/>
          <w:szCs w:val="20"/>
        </w:rPr>
        <w:t>ünyada sigorta pazarı</w:t>
      </w:r>
      <w:r w:rsidR="00361F13" w:rsidRPr="00540996">
        <w:rPr>
          <w:rFonts w:ascii="Verdana" w:hAnsi="Verdana" w:cs="Arial"/>
          <w:sz w:val="20"/>
          <w:szCs w:val="20"/>
        </w:rPr>
        <w:t>nın</w:t>
      </w:r>
      <w:r w:rsidR="00B16200" w:rsidRPr="00540996">
        <w:rPr>
          <w:rFonts w:ascii="Verdana" w:hAnsi="Verdana" w:cs="Arial"/>
          <w:sz w:val="20"/>
          <w:szCs w:val="20"/>
        </w:rPr>
        <w:t xml:space="preserve"> </w:t>
      </w:r>
      <w:r w:rsidR="00361F13" w:rsidRPr="00540996">
        <w:rPr>
          <w:rFonts w:ascii="Verdana" w:hAnsi="Verdana" w:cs="Arial"/>
          <w:sz w:val="20"/>
          <w:szCs w:val="20"/>
        </w:rPr>
        <w:t>büyümesi yavaşlarken, satüre olmuş</w:t>
      </w:r>
      <w:r w:rsidR="00B16200" w:rsidRPr="00540996">
        <w:rPr>
          <w:rFonts w:ascii="Verdana" w:hAnsi="Verdana" w:cs="Arial"/>
          <w:sz w:val="20"/>
          <w:szCs w:val="20"/>
        </w:rPr>
        <w:t xml:space="preserve"> piyasalarda</w:t>
      </w:r>
      <w:r w:rsidR="00361F13" w:rsidRPr="00540996">
        <w:rPr>
          <w:rFonts w:ascii="Verdana" w:hAnsi="Verdana" w:cs="Arial"/>
          <w:sz w:val="20"/>
          <w:szCs w:val="20"/>
        </w:rPr>
        <w:t>ki</w:t>
      </w:r>
      <w:r w:rsidR="00B16200" w:rsidRPr="00540996">
        <w:rPr>
          <w:rFonts w:ascii="Verdana" w:hAnsi="Verdana" w:cs="Arial"/>
          <w:sz w:val="20"/>
          <w:szCs w:val="20"/>
        </w:rPr>
        <w:t xml:space="preserve"> </w:t>
      </w:r>
      <w:r w:rsidR="00D306E7" w:rsidRPr="00540996">
        <w:rPr>
          <w:rFonts w:ascii="Verdana" w:hAnsi="Verdana" w:cs="Arial"/>
          <w:sz w:val="20"/>
          <w:szCs w:val="20"/>
        </w:rPr>
        <w:t>daralmaya</w:t>
      </w:r>
      <w:r w:rsidR="00B16200" w:rsidRPr="00540996">
        <w:rPr>
          <w:rFonts w:ascii="Verdana" w:hAnsi="Verdana" w:cs="Arial"/>
          <w:sz w:val="20"/>
          <w:szCs w:val="20"/>
        </w:rPr>
        <w:t xml:space="preserve"> karşın başta Türkiye gibi gelişmekte olan piyasalar</w:t>
      </w:r>
      <w:r w:rsidR="00361F13" w:rsidRPr="00540996">
        <w:rPr>
          <w:rFonts w:ascii="Verdana" w:hAnsi="Verdana" w:cs="Arial"/>
          <w:sz w:val="20"/>
          <w:szCs w:val="20"/>
        </w:rPr>
        <w:t>,</w:t>
      </w:r>
      <w:r w:rsidR="00B16200" w:rsidRPr="00540996">
        <w:rPr>
          <w:rFonts w:ascii="Verdana" w:hAnsi="Verdana" w:cs="Arial"/>
          <w:sz w:val="20"/>
          <w:szCs w:val="20"/>
        </w:rPr>
        <w:t xml:space="preserve"> </w:t>
      </w:r>
      <w:r w:rsidR="00361F13" w:rsidRPr="00540996">
        <w:rPr>
          <w:rFonts w:ascii="Verdana" w:hAnsi="Verdana" w:cs="Arial"/>
          <w:sz w:val="20"/>
          <w:szCs w:val="20"/>
        </w:rPr>
        <w:t>büyüme ortamı arayan gl</w:t>
      </w:r>
      <w:r w:rsidR="00776D16" w:rsidRPr="00540996">
        <w:rPr>
          <w:rFonts w:ascii="Verdana" w:hAnsi="Verdana" w:cs="Arial"/>
          <w:sz w:val="20"/>
          <w:szCs w:val="20"/>
        </w:rPr>
        <w:t xml:space="preserve">obal </w:t>
      </w:r>
      <w:r w:rsidR="00361F13" w:rsidRPr="00540996">
        <w:rPr>
          <w:rFonts w:ascii="Verdana" w:hAnsi="Verdana" w:cs="Arial"/>
          <w:sz w:val="20"/>
          <w:szCs w:val="20"/>
        </w:rPr>
        <w:t xml:space="preserve">sigorta </w:t>
      </w:r>
      <w:r w:rsidR="00776D16" w:rsidRPr="00540996">
        <w:rPr>
          <w:rFonts w:ascii="Verdana" w:hAnsi="Verdana" w:cs="Arial"/>
          <w:sz w:val="20"/>
          <w:szCs w:val="20"/>
        </w:rPr>
        <w:t>şirketler</w:t>
      </w:r>
      <w:r w:rsidR="00361F13" w:rsidRPr="00540996">
        <w:rPr>
          <w:rFonts w:ascii="Verdana" w:hAnsi="Verdana" w:cs="Arial"/>
          <w:sz w:val="20"/>
          <w:szCs w:val="20"/>
        </w:rPr>
        <w:t>i</w:t>
      </w:r>
      <w:r w:rsidR="00776D16" w:rsidRPr="00540996">
        <w:rPr>
          <w:rFonts w:ascii="Verdana" w:hAnsi="Verdana" w:cs="Arial"/>
          <w:sz w:val="20"/>
          <w:szCs w:val="20"/>
        </w:rPr>
        <w:t xml:space="preserve"> için </w:t>
      </w:r>
      <w:r w:rsidR="00B16200" w:rsidRPr="00540996">
        <w:rPr>
          <w:rFonts w:ascii="Verdana" w:hAnsi="Verdana" w:cs="Arial"/>
          <w:sz w:val="20"/>
          <w:szCs w:val="20"/>
        </w:rPr>
        <w:t xml:space="preserve">son derece </w:t>
      </w:r>
      <w:r w:rsidR="00661730" w:rsidRPr="00540996">
        <w:rPr>
          <w:rFonts w:ascii="Verdana" w:hAnsi="Verdana" w:cs="Arial"/>
          <w:sz w:val="20"/>
          <w:szCs w:val="20"/>
        </w:rPr>
        <w:t>cazip hale gelmiştir.</w:t>
      </w:r>
    </w:p>
    <w:p w:rsidR="00B16200" w:rsidRPr="00540996" w:rsidRDefault="00B16200" w:rsidP="00734886">
      <w:pPr>
        <w:pStyle w:val="ListeParagraf1"/>
        <w:ind w:left="0"/>
        <w:rPr>
          <w:rFonts w:ascii="Verdana" w:eastAsia="Times New Roman" w:hAnsi="Verdana" w:cs="Arial"/>
          <w:sz w:val="20"/>
          <w:szCs w:val="20"/>
        </w:rPr>
      </w:pPr>
    </w:p>
    <w:p w:rsidR="00AE38D6" w:rsidRPr="00540996" w:rsidRDefault="00AE38D6" w:rsidP="00AE38D6">
      <w:pPr>
        <w:pStyle w:val="ListeParagraf1"/>
        <w:ind w:left="360"/>
        <w:rPr>
          <w:rFonts w:ascii="Verdana" w:eastAsia="Times New Roman" w:hAnsi="Verdana" w:cs="Arial"/>
          <w:b/>
          <w:sz w:val="20"/>
          <w:szCs w:val="20"/>
        </w:rPr>
      </w:pPr>
      <w:r w:rsidRPr="00540996">
        <w:rPr>
          <w:rFonts w:ascii="Verdana" w:eastAsia="Times New Roman" w:hAnsi="Verdana" w:cs="Arial"/>
          <w:b/>
          <w:sz w:val="20"/>
          <w:szCs w:val="20"/>
        </w:rPr>
        <w:t>2009 yılında elementer sektör % 3 büyüdü, emeklilik sektörü % 40 büyüdü. 2010 yılında elementer tarafın ekonomiye paralel olarak % 5-6 büyümesi, emeklilik tarafının ise %25-30 büyümesi beklenmektedir.</w:t>
      </w:r>
    </w:p>
    <w:p w:rsidR="00AE38D6" w:rsidRPr="00540996" w:rsidRDefault="00AE38D6" w:rsidP="00734886">
      <w:pPr>
        <w:pStyle w:val="ListeParagraf1"/>
        <w:ind w:left="0"/>
        <w:rPr>
          <w:rFonts w:ascii="Verdana" w:eastAsia="Times New Roman" w:hAnsi="Verdana" w:cs="Arial"/>
          <w:sz w:val="20"/>
          <w:szCs w:val="20"/>
        </w:rPr>
      </w:pPr>
    </w:p>
    <w:p w:rsidR="00B16200" w:rsidRPr="00540996" w:rsidRDefault="00361F13" w:rsidP="00734886">
      <w:pPr>
        <w:pStyle w:val="ListeParagraf1"/>
        <w:numPr>
          <w:ilvl w:val="0"/>
          <w:numId w:val="10"/>
        </w:numPr>
        <w:rPr>
          <w:rFonts w:ascii="Verdana" w:eastAsia="Times New Roman" w:hAnsi="Verdana" w:cs="Arial"/>
          <w:sz w:val="20"/>
          <w:szCs w:val="20"/>
        </w:rPr>
      </w:pPr>
      <w:r w:rsidRPr="00540996">
        <w:rPr>
          <w:rFonts w:ascii="Verdana" w:eastAsia="Times New Roman" w:hAnsi="Verdana" w:cs="Arial"/>
          <w:sz w:val="20"/>
          <w:szCs w:val="20"/>
        </w:rPr>
        <w:t>Ekonomik potansiyelin büyük,</w:t>
      </w:r>
      <w:r w:rsidR="00DE0C61" w:rsidRPr="00540996">
        <w:rPr>
          <w:rFonts w:ascii="Verdana" w:eastAsia="Times New Roman" w:hAnsi="Verdana" w:cs="Arial"/>
          <w:sz w:val="20"/>
          <w:szCs w:val="20"/>
        </w:rPr>
        <w:t xml:space="preserve"> ancak sigortalılık oranının çok düşük</w:t>
      </w:r>
      <w:r w:rsidR="002B3D27" w:rsidRPr="00540996">
        <w:rPr>
          <w:rFonts w:ascii="Verdana" w:eastAsia="Times New Roman" w:hAnsi="Verdana" w:cs="Arial"/>
          <w:sz w:val="20"/>
          <w:szCs w:val="20"/>
        </w:rPr>
        <w:t xml:space="preserve"> seviyede olduğu ülkemizde, bir</w:t>
      </w:r>
      <w:r w:rsidR="00DE0C61" w:rsidRPr="00540996">
        <w:rPr>
          <w:rFonts w:ascii="Verdana" w:eastAsia="Times New Roman" w:hAnsi="Verdana" w:cs="Arial"/>
          <w:sz w:val="20"/>
          <w:szCs w:val="20"/>
        </w:rPr>
        <w:t xml:space="preserve">çok </w:t>
      </w:r>
      <w:r w:rsidR="00385DC0" w:rsidRPr="00540996">
        <w:rPr>
          <w:rFonts w:ascii="Verdana" w:eastAsia="Times New Roman" w:hAnsi="Verdana" w:cs="Arial"/>
          <w:sz w:val="20"/>
          <w:szCs w:val="20"/>
        </w:rPr>
        <w:t xml:space="preserve">büyük global </w:t>
      </w:r>
      <w:r w:rsidR="00DE0C61" w:rsidRPr="00540996">
        <w:rPr>
          <w:rFonts w:ascii="Verdana" w:eastAsia="Times New Roman" w:hAnsi="Verdana" w:cs="Arial"/>
          <w:sz w:val="20"/>
          <w:szCs w:val="20"/>
        </w:rPr>
        <w:t>oyuncu çok küçük ölçekler</w:t>
      </w:r>
      <w:r w:rsidR="00385DC0" w:rsidRPr="00540996">
        <w:rPr>
          <w:rFonts w:ascii="Verdana" w:eastAsia="Times New Roman" w:hAnsi="Verdana" w:cs="Arial"/>
          <w:sz w:val="20"/>
          <w:szCs w:val="20"/>
        </w:rPr>
        <w:t>d</w:t>
      </w:r>
      <w:r w:rsidR="00DE0C61" w:rsidRPr="00540996">
        <w:rPr>
          <w:rFonts w:ascii="Verdana" w:eastAsia="Times New Roman" w:hAnsi="Verdana" w:cs="Arial"/>
          <w:sz w:val="20"/>
          <w:szCs w:val="20"/>
        </w:rPr>
        <w:t xml:space="preserve">e faaliyet göstermektedir. </w:t>
      </w:r>
    </w:p>
    <w:p w:rsidR="00DE0C61" w:rsidRPr="00540996" w:rsidRDefault="00DE0C61" w:rsidP="00734886">
      <w:pPr>
        <w:pStyle w:val="ListeParagraf"/>
        <w:rPr>
          <w:rFonts w:ascii="Verdana" w:hAnsi="Verdana" w:cs="Arial"/>
          <w:sz w:val="20"/>
          <w:szCs w:val="20"/>
          <w:lang w:val="tr-TR"/>
        </w:rPr>
      </w:pPr>
    </w:p>
    <w:p w:rsidR="00AE38D6" w:rsidRPr="00540996" w:rsidRDefault="00D306E7" w:rsidP="00734886">
      <w:pPr>
        <w:pStyle w:val="ListeParagraf1"/>
        <w:numPr>
          <w:ilvl w:val="0"/>
          <w:numId w:val="10"/>
        </w:numPr>
        <w:rPr>
          <w:rFonts w:ascii="Verdana" w:hAnsi="Verdana" w:cs="Arial"/>
          <w:sz w:val="20"/>
          <w:szCs w:val="20"/>
        </w:rPr>
      </w:pPr>
      <w:r w:rsidRPr="00540996">
        <w:rPr>
          <w:rFonts w:ascii="Verdana" w:eastAsia="Times New Roman" w:hAnsi="Verdana" w:cs="Arial"/>
          <w:sz w:val="20"/>
          <w:szCs w:val="20"/>
        </w:rPr>
        <w:t>Türkiye’de</w:t>
      </w:r>
      <w:r w:rsidR="00890645" w:rsidRPr="00540996">
        <w:rPr>
          <w:rFonts w:ascii="Verdana" w:eastAsia="Times New Roman" w:hAnsi="Verdana" w:cs="Arial"/>
          <w:sz w:val="20"/>
          <w:szCs w:val="20"/>
        </w:rPr>
        <w:t xml:space="preserve"> h</w:t>
      </w:r>
      <w:r w:rsidR="00DE0C61" w:rsidRPr="00540996">
        <w:rPr>
          <w:rFonts w:ascii="Verdana" w:eastAsia="Times New Roman" w:hAnsi="Verdana" w:cs="Arial"/>
          <w:sz w:val="20"/>
          <w:szCs w:val="20"/>
        </w:rPr>
        <w:t xml:space="preserve">enüz </w:t>
      </w:r>
      <w:r w:rsidRPr="00540996">
        <w:rPr>
          <w:rFonts w:ascii="Verdana" w:eastAsia="Times New Roman" w:hAnsi="Verdana" w:cs="Arial"/>
          <w:sz w:val="20"/>
          <w:szCs w:val="20"/>
        </w:rPr>
        <w:t xml:space="preserve">kapsamlı </w:t>
      </w:r>
      <w:r w:rsidR="00DE0C61" w:rsidRPr="00540996">
        <w:rPr>
          <w:rFonts w:ascii="Verdana" w:eastAsia="Times New Roman" w:hAnsi="Verdana" w:cs="Arial"/>
          <w:sz w:val="20"/>
          <w:szCs w:val="20"/>
        </w:rPr>
        <w:t>bir konsolidasyon yaşanmış değil</w:t>
      </w:r>
      <w:r w:rsidR="00661730" w:rsidRPr="00540996">
        <w:rPr>
          <w:rFonts w:ascii="Verdana" w:eastAsia="Times New Roman" w:hAnsi="Verdana" w:cs="Arial"/>
          <w:sz w:val="20"/>
          <w:szCs w:val="20"/>
        </w:rPr>
        <w:t>dir</w:t>
      </w:r>
      <w:r w:rsidR="00DE0C61" w:rsidRPr="00540996">
        <w:rPr>
          <w:rFonts w:ascii="Verdana" w:eastAsia="Times New Roman" w:hAnsi="Verdana" w:cs="Arial"/>
          <w:sz w:val="20"/>
          <w:szCs w:val="20"/>
        </w:rPr>
        <w:t>. Ancak</w:t>
      </w:r>
      <w:r w:rsidR="00661730" w:rsidRPr="00540996">
        <w:rPr>
          <w:rFonts w:ascii="Verdana" w:eastAsia="Times New Roman" w:hAnsi="Verdana" w:cs="Arial"/>
          <w:sz w:val="20"/>
          <w:szCs w:val="20"/>
        </w:rPr>
        <w:t>,</w:t>
      </w:r>
      <w:r w:rsidR="00DE0C61" w:rsidRPr="00540996">
        <w:rPr>
          <w:rFonts w:ascii="Verdana" w:eastAsia="Times New Roman" w:hAnsi="Verdana" w:cs="Arial"/>
          <w:sz w:val="20"/>
          <w:szCs w:val="20"/>
        </w:rPr>
        <w:t xml:space="preserve"> teknik </w:t>
      </w:r>
      <w:r w:rsidR="00C75682" w:rsidRPr="00540996">
        <w:rPr>
          <w:rFonts w:ascii="Verdana" w:eastAsia="Times New Roman" w:hAnsi="Verdana" w:cs="Arial"/>
          <w:sz w:val="20"/>
          <w:szCs w:val="20"/>
        </w:rPr>
        <w:t>sigortacılık</w:t>
      </w:r>
      <w:r w:rsidR="00385DC0" w:rsidRPr="00540996">
        <w:rPr>
          <w:rFonts w:ascii="Verdana" w:eastAsia="Times New Roman" w:hAnsi="Verdana" w:cs="Arial"/>
          <w:sz w:val="20"/>
          <w:szCs w:val="20"/>
        </w:rPr>
        <w:t xml:space="preserve"> </w:t>
      </w:r>
      <w:r w:rsidR="00DE0C61" w:rsidRPr="00540996">
        <w:rPr>
          <w:rFonts w:ascii="Verdana" w:eastAsia="Times New Roman" w:hAnsi="Verdana" w:cs="Arial"/>
          <w:sz w:val="20"/>
          <w:szCs w:val="20"/>
        </w:rPr>
        <w:t>kar</w:t>
      </w:r>
      <w:r w:rsidR="00385DC0" w:rsidRPr="00540996">
        <w:rPr>
          <w:rFonts w:ascii="Verdana" w:eastAsia="Times New Roman" w:hAnsi="Verdana" w:cs="Arial"/>
          <w:sz w:val="20"/>
          <w:szCs w:val="20"/>
        </w:rPr>
        <w:t>ı</w:t>
      </w:r>
      <w:r w:rsidR="00DE0C61" w:rsidRPr="00540996">
        <w:rPr>
          <w:rFonts w:ascii="Verdana" w:eastAsia="Times New Roman" w:hAnsi="Verdana" w:cs="Arial"/>
          <w:sz w:val="20"/>
          <w:szCs w:val="20"/>
        </w:rPr>
        <w:t xml:space="preserve"> yaratamama sıkıntısı ve mali gelirlerdeki düşüş</w:t>
      </w:r>
      <w:r w:rsidR="00661730" w:rsidRPr="00540996">
        <w:rPr>
          <w:rFonts w:ascii="Verdana" w:eastAsia="Times New Roman" w:hAnsi="Verdana" w:cs="Arial"/>
          <w:sz w:val="20"/>
          <w:szCs w:val="20"/>
        </w:rPr>
        <w:t>,</w:t>
      </w:r>
      <w:r w:rsidR="00DE0C61" w:rsidRPr="00540996">
        <w:rPr>
          <w:rFonts w:ascii="Verdana" w:eastAsia="Times New Roman" w:hAnsi="Verdana" w:cs="Arial"/>
          <w:sz w:val="20"/>
          <w:szCs w:val="20"/>
        </w:rPr>
        <w:t xml:space="preserve"> özkaynakların erimesine ve sermayedarların radikal kararlar almasına sebep ola</w:t>
      </w:r>
      <w:r w:rsidR="00385DC0" w:rsidRPr="00540996">
        <w:rPr>
          <w:rFonts w:ascii="Verdana" w:eastAsia="Times New Roman" w:hAnsi="Verdana" w:cs="Arial"/>
          <w:sz w:val="20"/>
          <w:szCs w:val="20"/>
        </w:rPr>
        <w:t>bili</w:t>
      </w:r>
      <w:r w:rsidR="00DE0C61" w:rsidRPr="00540996">
        <w:rPr>
          <w:rFonts w:ascii="Verdana" w:eastAsia="Times New Roman" w:hAnsi="Verdana" w:cs="Arial"/>
          <w:sz w:val="20"/>
          <w:szCs w:val="20"/>
        </w:rPr>
        <w:t xml:space="preserve">r. </w:t>
      </w:r>
    </w:p>
    <w:p w:rsidR="00AE38D6" w:rsidRPr="00540996" w:rsidRDefault="00AE38D6" w:rsidP="00AE38D6">
      <w:pPr>
        <w:pStyle w:val="ListeParagraf"/>
        <w:rPr>
          <w:rFonts w:ascii="Verdana" w:hAnsi="Verdana" w:cs="Arial"/>
          <w:sz w:val="20"/>
          <w:szCs w:val="20"/>
        </w:rPr>
      </w:pPr>
    </w:p>
    <w:p w:rsidR="00AE38D6" w:rsidRPr="00540996" w:rsidRDefault="00AE38D6" w:rsidP="00AE38D6">
      <w:pPr>
        <w:pStyle w:val="ListeParagraf1"/>
        <w:ind w:left="360"/>
        <w:rPr>
          <w:rFonts w:ascii="Verdana" w:hAnsi="Verdana" w:cs="Arial"/>
          <w:b/>
          <w:sz w:val="20"/>
          <w:szCs w:val="20"/>
        </w:rPr>
      </w:pPr>
      <w:r w:rsidRPr="00540996">
        <w:rPr>
          <w:rFonts w:ascii="Verdana" w:hAnsi="Verdana" w:cs="Arial"/>
          <w:b/>
          <w:sz w:val="20"/>
          <w:szCs w:val="20"/>
        </w:rPr>
        <w:t>2009/9.ay itibari ile 56 şirketin 15’i elementerde, 9’su emeklilik ve hayatta olmak üzere toplam 24 şirket zarar açıkladı. Yılsonu rakamlarıyla bu sayının artması söz konusu olabilir.</w:t>
      </w:r>
    </w:p>
    <w:p w:rsidR="00AE38D6" w:rsidRPr="00540996" w:rsidRDefault="00AE38D6" w:rsidP="00AE38D6">
      <w:pPr>
        <w:pStyle w:val="ListeParagraf1"/>
        <w:ind w:left="360"/>
        <w:rPr>
          <w:rFonts w:ascii="Verdana" w:hAnsi="Verdana" w:cs="Arial"/>
          <w:b/>
          <w:sz w:val="20"/>
          <w:szCs w:val="20"/>
        </w:rPr>
      </w:pPr>
    </w:p>
    <w:p w:rsidR="00AE38D6" w:rsidRPr="00540996" w:rsidRDefault="00AE38D6" w:rsidP="00AE38D6">
      <w:pPr>
        <w:pStyle w:val="ListeParagraf1"/>
        <w:ind w:left="360"/>
        <w:rPr>
          <w:rFonts w:ascii="Verdana" w:hAnsi="Verdana" w:cs="Arial"/>
          <w:b/>
          <w:sz w:val="20"/>
          <w:szCs w:val="20"/>
        </w:rPr>
      </w:pPr>
      <w:r w:rsidRPr="00540996">
        <w:rPr>
          <w:rFonts w:ascii="Verdana" w:hAnsi="Verdana" w:cs="Arial"/>
          <w:b/>
          <w:sz w:val="20"/>
          <w:szCs w:val="20"/>
        </w:rPr>
        <w:t>Bozulan finansal tablolar ve Sermaye artırım talepleri ile birlikte, 2010 yılı yurtdışı genel merkezlerin daha çok soru soracağı bir yıl olacaktır.</w:t>
      </w:r>
    </w:p>
    <w:p w:rsidR="00AE38D6" w:rsidRPr="00540996" w:rsidRDefault="00AE38D6" w:rsidP="00AE38D6">
      <w:pPr>
        <w:pStyle w:val="ListeParagraf"/>
        <w:rPr>
          <w:rFonts w:ascii="Verdana" w:hAnsi="Verdana" w:cs="Arial"/>
          <w:sz w:val="20"/>
          <w:szCs w:val="20"/>
        </w:rPr>
      </w:pPr>
    </w:p>
    <w:p w:rsidR="00DE0C61" w:rsidRPr="00540996" w:rsidRDefault="00DE0C61" w:rsidP="00734886">
      <w:pPr>
        <w:pStyle w:val="ListeParagraf1"/>
        <w:numPr>
          <w:ilvl w:val="0"/>
          <w:numId w:val="10"/>
        </w:numPr>
        <w:rPr>
          <w:rFonts w:ascii="Verdana" w:hAnsi="Verdana" w:cs="Arial"/>
          <w:sz w:val="20"/>
          <w:szCs w:val="20"/>
        </w:rPr>
      </w:pPr>
      <w:r w:rsidRPr="00540996">
        <w:rPr>
          <w:rFonts w:ascii="Verdana" w:eastAsia="Times New Roman" w:hAnsi="Verdana" w:cs="Arial"/>
          <w:sz w:val="20"/>
          <w:szCs w:val="20"/>
        </w:rPr>
        <w:t>Bu</w:t>
      </w:r>
      <w:r w:rsidR="00385DC0" w:rsidRPr="00540996">
        <w:rPr>
          <w:rFonts w:ascii="Verdana" w:eastAsia="Times New Roman" w:hAnsi="Verdana" w:cs="Arial"/>
          <w:sz w:val="20"/>
          <w:szCs w:val="20"/>
        </w:rPr>
        <w:t xml:space="preserve">na bağlı olarak </w:t>
      </w:r>
      <w:r w:rsidRPr="00540996">
        <w:rPr>
          <w:rFonts w:ascii="Verdana" w:eastAsia="Times New Roman" w:hAnsi="Verdana" w:cs="Arial"/>
          <w:sz w:val="20"/>
          <w:szCs w:val="20"/>
        </w:rPr>
        <w:t>ülkemizde</w:t>
      </w:r>
      <w:r w:rsidR="00385DC0" w:rsidRPr="00540996">
        <w:rPr>
          <w:rFonts w:ascii="Verdana" w:eastAsia="Times New Roman" w:hAnsi="Verdana" w:cs="Arial"/>
          <w:sz w:val="20"/>
          <w:szCs w:val="20"/>
        </w:rPr>
        <w:t xml:space="preserve"> </w:t>
      </w:r>
      <w:r w:rsidR="00C75682" w:rsidRPr="00540996">
        <w:rPr>
          <w:rFonts w:ascii="Verdana" w:eastAsia="Times New Roman" w:hAnsi="Verdana" w:cs="Arial"/>
          <w:sz w:val="20"/>
          <w:szCs w:val="20"/>
        </w:rPr>
        <w:t>sigorta</w:t>
      </w:r>
      <w:r w:rsidR="00385DC0" w:rsidRPr="00540996">
        <w:rPr>
          <w:rFonts w:ascii="Verdana" w:eastAsia="Times New Roman" w:hAnsi="Verdana" w:cs="Arial"/>
          <w:sz w:val="20"/>
          <w:szCs w:val="20"/>
        </w:rPr>
        <w:t xml:space="preserve"> sektöründe</w:t>
      </w:r>
      <w:r w:rsidRPr="00540996">
        <w:rPr>
          <w:rFonts w:ascii="Verdana" w:eastAsia="Times New Roman" w:hAnsi="Verdana" w:cs="Arial"/>
          <w:sz w:val="20"/>
          <w:szCs w:val="20"/>
        </w:rPr>
        <w:t xml:space="preserve"> konsolidasyon</w:t>
      </w:r>
      <w:r w:rsidR="00D306E7" w:rsidRPr="00540996">
        <w:rPr>
          <w:rFonts w:ascii="Verdana" w:eastAsia="Times New Roman" w:hAnsi="Verdana" w:cs="Arial"/>
          <w:sz w:val="20"/>
          <w:szCs w:val="20"/>
        </w:rPr>
        <w:t xml:space="preserve"> öngörmekteyiz.</w:t>
      </w:r>
    </w:p>
    <w:p w:rsidR="00AE38D6" w:rsidRPr="00540996" w:rsidRDefault="00AE38D6" w:rsidP="00AE38D6">
      <w:pPr>
        <w:pStyle w:val="ListeParagraf"/>
        <w:rPr>
          <w:rFonts w:ascii="Verdana" w:hAnsi="Verdana" w:cs="Arial"/>
          <w:sz w:val="20"/>
          <w:szCs w:val="20"/>
        </w:rPr>
      </w:pPr>
    </w:p>
    <w:p w:rsidR="00AE38D6" w:rsidRPr="00540996" w:rsidRDefault="00AE38D6" w:rsidP="00AE38D6">
      <w:pPr>
        <w:pStyle w:val="ListeParagraf1"/>
        <w:rPr>
          <w:rFonts w:ascii="Verdana" w:hAnsi="Verdana" w:cs="Arial"/>
          <w:b/>
          <w:sz w:val="20"/>
          <w:szCs w:val="20"/>
        </w:rPr>
      </w:pPr>
      <w:r w:rsidRPr="00540996">
        <w:rPr>
          <w:rFonts w:ascii="Verdana" w:hAnsi="Verdana" w:cs="Arial"/>
          <w:b/>
          <w:sz w:val="20"/>
          <w:szCs w:val="20"/>
        </w:rPr>
        <w:t>( Satıcı değil, alıcıyız)</w:t>
      </w:r>
    </w:p>
    <w:p w:rsidR="00AE38D6" w:rsidRPr="00540996" w:rsidRDefault="00AE38D6" w:rsidP="00AE38D6">
      <w:pPr>
        <w:pStyle w:val="ListeParagraf1"/>
        <w:rPr>
          <w:rFonts w:ascii="Verdana" w:hAnsi="Verdana" w:cs="Arial"/>
          <w:sz w:val="20"/>
          <w:szCs w:val="20"/>
        </w:rPr>
      </w:pPr>
    </w:p>
    <w:p w:rsidR="00D306E7" w:rsidRPr="00540996" w:rsidRDefault="00D306E7" w:rsidP="00D306E7">
      <w:pPr>
        <w:pStyle w:val="ListeParagraf1"/>
        <w:ind w:left="0"/>
        <w:rPr>
          <w:rFonts w:ascii="Verdana" w:hAnsi="Verdana" w:cs="Arial"/>
          <w:sz w:val="20"/>
          <w:szCs w:val="20"/>
        </w:rPr>
      </w:pPr>
    </w:p>
    <w:p w:rsidR="00091DD1" w:rsidRPr="00540996" w:rsidRDefault="002A5334" w:rsidP="002A5334">
      <w:pPr>
        <w:numPr>
          <w:ilvl w:val="0"/>
          <w:numId w:val="8"/>
        </w:numPr>
        <w:ind w:left="426" w:hanging="426"/>
        <w:rPr>
          <w:rFonts w:ascii="Verdana" w:hAnsi="Verdana" w:cs="Arial"/>
          <w:sz w:val="20"/>
          <w:szCs w:val="20"/>
          <w:lang w:val="tr-TR"/>
        </w:rPr>
      </w:pPr>
      <w:r w:rsidRPr="00540996">
        <w:rPr>
          <w:rFonts w:ascii="Verdana" w:hAnsi="Verdana" w:cs="Arial"/>
          <w:sz w:val="20"/>
          <w:szCs w:val="20"/>
          <w:lang w:val="tr-TR"/>
        </w:rPr>
        <w:t xml:space="preserve">Yeni sigorta yasası sektöre AB normlarında standartlar getirmiştir. </w:t>
      </w:r>
    </w:p>
    <w:p w:rsidR="00091DD1" w:rsidRPr="00540996" w:rsidRDefault="00091DD1" w:rsidP="00091DD1">
      <w:pPr>
        <w:rPr>
          <w:rFonts w:ascii="Verdana" w:hAnsi="Verdana" w:cs="Arial"/>
          <w:sz w:val="20"/>
          <w:szCs w:val="20"/>
          <w:lang w:val="tr-TR"/>
        </w:rPr>
      </w:pPr>
    </w:p>
    <w:p w:rsidR="00091DD1" w:rsidRPr="00540996" w:rsidRDefault="00091DD1" w:rsidP="00091DD1">
      <w:pPr>
        <w:numPr>
          <w:ilvl w:val="1"/>
          <w:numId w:val="11"/>
        </w:numPr>
        <w:rPr>
          <w:rFonts w:ascii="Verdana" w:hAnsi="Verdana" w:cs="Arial"/>
          <w:b/>
          <w:sz w:val="20"/>
          <w:szCs w:val="20"/>
          <w:lang w:val="tr-TR"/>
        </w:rPr>
      </w:pPr>
      <w:r w:rsidRPr="00540996">
        <w:rPr>
          <w:rFonts w:ascii="Verdana" w:hAnsi="Verdana" w:cs="Arial"/>
          <w:b/>
          <w:sz w:val="20"/>
          <w:szCs w:val="20"/>
          <w:lang w:val="tr-TR"/>
        </w:rPr>
        <w:t>Sigorta sektörünün son 3-4 yılında, 40 yılda gerçekleşmeyen, sektörün gelişmesine fayda sağlayan regülasyon değişiklikleri yapılmıştır. 2007 yılında sektör yeni sigorta yasasına kavuşmuştur.</w:t>
      </w:r>
    </w:p>
    <w:p w:rsidR="00091DD1" w:rsidRPr="00540996" w:rsidRDefault="00091DD1" w:rsidP="00091DD1">
      <w:pPr>
        <w:rPr>
          <w:rFonts w:ascii="Verdana" w:hAnsi="Verdana" w:cs="Arial"/>
          <w:b/>
          <w:sz w:val="20"/>
          <w:szCs w:val="20"/>
          <w:lang w:val="tr-TR"/>
        </w:rPr>
      </w:pPr>
    </w:p>
    <w:p w:rsidR="00091DD1" w:rsidRPr="00540996" w:rsidRDefault="00091DD1" w:rsidP="00091DD1">
      <w:pPr>
        <w:numPr>
          <w:ilvl w:val="1"/>
          <w:numId w:val="11"/>
        </w:numPr>
        <w:rPr>
          <w:rFonts w:ascii="Verdana" w:hAnsi="Verdana" w:cs="Arial"/>
          <w:b/>
          <w:sz w:val="20"/>
          <w:szCs w:val="20"/>
          <w:lang w:val="tr-TR"/>
        </w:rPr>
      </w:pPr>
      <w:r w:rsidRPr="00540996">
        <w:rPr>
          <w:rFonts w:ascii="Verdana" w:hAnsi="Verdana" w:cs="Arial"/>
          <w:b/>
          <w:sz w:val="20"/>
          <w:szCs w:val="20"/>
          <w:lang w:val="tr-TR"/>
        </w:rPr>
        <w:t>Karşılık uygulamaları AB mevzuatına uyumlu hale geldi. Böylece yeni rezervlerle sektör daha güçlü bir yapıya kavuşmaktadır.</w:t>
      </w:r>
    </w:p>
    <w:p w:rsidR="00091DD1" w:rsidRPr="00540996" w:rsidRDefault="00091DD1" w:rsidP="00091DD1">
      <w:pPr>
        <w:rPr>
          <w:rFonts w:ascii="Verdana" w:hAnsi="Verdana" w:cs="Arial"/>
          <w:b/>
          <w:sz w:val="20"/>
          <w:szCs w:val="20"/>
          <w:lang w:val="tr-TR"/>
        </w:rPr>
      </w:pPr>
    </w:p>
    <w:p w:rsidR="00091DD1" w:rsidRPr="00540996" w:rsidRDefault="00091DD1" w:rsidP="00091DD1">
      <w:pPr>
        <w:numPr>
          <w:ilvl w:val="1"/>
          <w:numId w:val="11"/>
        </w:numPr>
        <w:rPr>
          <w:rFonts w:ascii="Verdana" w:hAnsi="Verdana" w:cs="Arial"/>
          <w:b/>
          <w:sz w:val="20"/>
          <w:szCs w:val="20"/>
          <w:lang w:val="tr-TR"/>
        </w:rPr>
      </w:pPr>
      <w:r w:rsidRPr="00540996">
        <w:rPr>
          <w:rFonts w:ascii="Verdana" w:hAnsi="Verdana" w:cs="Arial"/>
          <w:b/>
          <w:sz w:val="20"/>
          <w:szCs w:val="20"/>
          <w:lang w:val="tr-TR"/>
        </w:rPr>
        <w:lastRenderedPageBreak/>
        <w:t>Tüm gelişmiş ülkelerde olduğu gibi TAHKİM (hasar uyuşmazlıklarını en geç 4 ayda karara bağlayan merkez) sistemi oluşturuldu.</w:t>
      </w:r>
    </w:p>
    <w:p w:rsidR="00091DD1" w:rsidRPr="00540996" w:rsidRDefault="00091DD1" w:rsidP="00091DD1">
      <w:pPr>
        <w:rPr>
          <w:rFonts w:ascii="Verdana" w:hAnsi="Verdana" w:cs="Arial"/>
          <w:b/>
          <w:sz w:val="20"/>
          <w:szCs w:val="20"/>
          <w:lang w:val="tr-TR"/>
        </w:rPr>
      </w:pPr>
    </w:p>
    <w:p w:rsidR="00091DD1" w:rsidRPr="00540996" w:rsidRDefault="00091DD1" w:rsidP="00091DD1">
      <w:pPr>
        <w:numPr>
          <w:ilvl w:val="1"/>
          <w:numId w:val="11"/>
        </w:numPr>
        <w:rPr>
          <w:rFonts w:ascii="Verdana" w:hAnsi="Verdana" w:cs="Arial"/>
          <w:b/>
          <w:sz w:val="20"/>
          <w:szCs w:val="20"/>
          <w:lang w:val="tr-TR"/>
        </w:rPr>
      </w:pPr>
      <w:r w:rsidRPr="00540996">
        <w:rPr>
          <w:rFonts w:ascii="Verdana" w:hAnsi="Verdana" w:cs="Arial"/>
          <w:b/>
          <w:sz w:val="20"/>
          <w:szCs w:val="20"/>
          <w:lang w:val="tr-TR"/>
        </w:rPr>
        <w:t>Sermaye yeterliliği ve ihtiyacı branş bazında AB standartlarına uygun hale getirildi.</w:t>
      </w:r>
    </w:p>
    <w:p w:rsidR="00091DD1" w:rsidRPr="00540996" w:rsidRDefault="00091DD1" w:rsidP="00091DD1">
      <w:pPr>
        <w:rPr>
          <w:rFonts w:ascii="Verdana" w:hAnsi="Verdana" w:cs="Arial"/>
          <w:b/>
          <w:sz w:val="20"/>
          <w:szCs w:val="20"/>
          <w:lang w:val="tr-TR"/>
        </w:rPr>
      </w:pPr>
    </w:p>
    <w:p w:rsidR="00091DD1" w:rsidRPr="00540996" w:rsidRDefault="00091DD1" w:rsidP="00091DD1">
      <w:pPr>
        <w:numPr>
          <w:ilvl w:val="1"/>
          <w:numId w:val="11"/>
        </w:numPr>
        <w:rPr>
          <w:rFonts w:ascii="Verdana" w:hAnsi="Verdana" w:cs="Arial"/>
          <w:b/>
          <w:sz w:val="20"/>
          <w:szCs w:val="20"/>
          <w:lang w:val="tr-TR"/>
        </w:rPr>
      </w:pPr>
      <w:r w:rsidRPr="00540996">
        <w:rPr>
          <w:rFonts w:ascii="Verdana" w:hAnsi="Verdana" w:cs="Arial"/>
          <w:b/>
          <w:sz w:val="20"/>
          <w:szCs w:val="20"/>
          <w:lang w:val="tr-TR"/>
        </w:rPr>
        <w:t xml:space="preserve">Acentelerle ilgili asgari eğitim (4 yıllık üniversite veya 2 yıllık sigortacılık bölümü) ve 2 yıl deneyim şartı getirildi. </w:t>
      </w:r>
    </w:p>
    <w:p w:rsidR="00091DD1" w:rsidRPr="00540996" w:rsidRDefault="00091DD1" w:rsidP="00091DD1">
      <w:pPr>
        <w:rPr>
          <w:rFonts w:ascii="Verdana" w:hAnsi="Verdana" w:cs="Arial"/>
          <w:b/>
          <w:sz w:val="20"/>
          <w:szCs w:val="20"/>
          <w:lang w:val="tr-TR"/>
        </w:rPr>
      </w:pPr>
    </w:p>
    <w:p w:rsidR="00091DD1" w:rsidRPr="00540996" w:rsidRDefault="00091DD1" w:rsidP="00091DD1">
      <w:pPr>
        <w:numPr>
          <w:ilvl w:val="1"/>
          <w:numId w:val="11"/>
        </w:numPr>
        <w:rPr>
          <w:rFonts w:ascii="Verdana" w:hAnsi="Verdana" w:cs="Arial"/>
          <w:b/>
          <w:sz w:val="20"/>
          <w:szCs w:val="20"/>
          <w:lang w:val="tr-TR"/>
        </w:rPr>
      </w:pPr>
      <w:r w:rsidRPr="00540996">
        <w:rPr>
          <w:rFonts w:ascii="Verdana" w:hAnsi="Verdana" w:cs="Arial"/>
          <w:b/>
          <w:sz w:val="20"/>
          <w:szCs w:val="20"/>
          <w:lang w:val="tr-TR"/>
        </w:rPr>
        <w:t>SEGEM (sigortacılık eğitim merkezi) kuruldu. Acentelere, eksperlere ve sektör çalışanlarına düzenli eğitimler vermekte</w:t>
      </w:r>
    </w:p>
    <w:p w:rsidR="00091DD1" w:rsidRPr="00540996" w:rsidRDefault="00091DD1" w:rsidP="00091DD1">
      <w:pPr>
        <w:rPr>
          <w:rFonts w:ascii="Verdana" w:hAnsi="Verdana" w:cs="Arial"/>
          <w:b/>
          <w:sz w:val="20"/>
          <w:szCs w:val="20"/>
          <w:lang w:val="tr-TR"/>
        </w:rPr>
      </w:pPr>
    </w:p>
    <w:p w:rsidR="00091DD1" w:rsidRPr="00540996" w:rsidRDefault="00091DD1" w:rsidP="00091DD1">
      <w:pPr>
        <w:numPr>
          <w:ilvl w:val="1"/>
          <w:numId w:val="11"/>
        </w:numPr>
        <w:rPr>
          <w:rFonts w:ascii="Verdana" w:hAnsi="Verdana" w:cs="Arial"/>
          <w:b/>
          <w:sz w:val="20"/>
          <w:szCs w:val="20"/>
          <w:lang w:val="tr-TR"/>
        </w:rPr>
      </w:pPr>
      <w:r w:rsidRPr="00540996">
        <w:rPr>
          <w:rFonts w:ascii="Verdana" w:hAnsi="Verdana" w:cs="Arial"/>
          <w:b/>
          <w:sz w:val="20"/>
          <w:szCs w:val="20"/>
          <w:lang w:val="tr-TR"/>
        </w:rPr>
        <w:t>Hayat, sağlık, hasar, trafik konularını kapsayan sigorta bilgi merkezi kuruldu.</w:t>
      </w:r>
    </w:p>
    <w:p w:rsidR="00091DD1" w:rsidRPr="00540996" w:rsidRDefault="00091DD1" w:rsidP="00091DD1">
      <w:pPr>
        <w:rPr>
          <w:rFonts w:ascii="Verdana" w:hAnsi="Verdana" w:cs="Arial"/>
          <w:sz w:val="20"/>
          <w:szCs w:val="20"/>
          <w:lang w:val="tr-TR"/>
        </w:rPr>
      </w:pPr>
    </w:p>
    <w:p w:rsidR="002A5334" w:rsidRPr="00540996" w:rsidRDefault="002A5334" w:rsidP="002A5334">
      <w:pPr>
        <w:numPr>
          <w:ilvl w:val="0"/>
          <w:numId w:val="8"/>
        </w:numPr>
        <w:ind w:left="426" w:hanging="426"/>
        <w:rPr>
          <w:rFonts w:ascii="Verdana" w:hAnsi="Verdana" w:cs="Arial"/>
          <w:sz w:val="20"/>
          <w:szCs w:val="20"/>
          <w:lang w:val="tr-TR"/>
        </w:rPr>
      </w:pPr>
      <w:r w:rsidRPr="00540996">
        <w:rPr>
          <w:rFonts w:ascii="Verdana" w:hAnsi="Verdana" w:cs="Arial"/>
          <w:sz w:val="20"/>
          <w:szCs w:val="20"/>
          <w:lang w:val="tr-TR"/>
        </w:rPr>
        <w:t>Ancak, sektörün büyümesi için güçlü sektör oyuncularının varlığı ve müşteri odaklı yaklaşım şarttır. Bu konuda Hazineye, Birliğe, sektör oyuncularına önemli görevler düşmektedir:</w:t>
      </w:r>
    </w:p>
    <w:p w:rsidR="002A5334" w:rsidRPr="00540996" w:rsidRDefault="002A5334" w:rsidP="002A5334">
      <w:pPr>
        <w:pStyle w:val="ListeParagraf"/>
        <w:rPr>
          <w:rFonts w:ascii="Verdana" w:hAnsi="Verdana" w:cs="Arial"/>
          <w:sz w:val="20"/>
          <w:szCs w:val="20"/>
          <w:lang w:val="tr-TR"/>
        </w:rPr>
      </w:pPr>
    </w:p>
    <w:p w:rsidR="002A5334" w:rsidRPr="00540996" w:rsidRDefault="002A5334" w:rsidP="002A5334">
      <w:pPr>
        <w:numPr>
          <w:ilvl w:val="0"/>
          <w:numId w:val="9"/>
        </w:numPr>
        <w:ind w:left="1276" w:hanging="425"/>
        <w:rPr>
          <w:rFonts w:ascii="Verdana" w:hAnsi="Verdana" w:cs="Arial"/>
          <w:b/>
          <w:sz w:val="20"/>
          <w:szCs w:val="20"/>
          <w:lang w:val="tr-TR"/>
        </w:rPr>
      </w:pPr>
      <w:r w:rsidRPr="00540996">
        <w:rPr>
          <w:rFonts w:ascii="Verdana" w:hAnsi="Verdana" w:cs="Arial"/>
          <w:sz w:val="20"/>
          <w:szCs w:val="20"/>
          <w:lang w:val="tr-TR"/>
        </w:rPr>
        <w:t>Sigortalılık oranını arttırmaya yönelik tüm kararlar hızla alınmalı ve uygulamaya bir an önce konulmalıdır (</w:t>
      </w:r>
      <w:r w:rsidRPr="00540996">
        <w:rPr>
          <w:rFonts w:ascii="Verdana" w:hAnsi="Verdana" w:cs="Arial"/>
          <w:b/>
          <w:sz w:val="20"/>
          <w:szCs w:val="20"/>
          <w:lang w:val="tr-TR"/>
        </w:rPr>
        <w:t xml:space="preserve">örneğin yeni TTK da sorumluluk sigortalarının getirilmesi veya DASK zorunlu deprem sigortasının olmamasın yaptırımlara bağlanması gibi) </w:t>
      </w:r>
    </w:p>
    <w:p w:rsidR="00091DD1" w:rsidRPr="00540996" w:rsidRDefault="00091DD1" w:rsidP="00091DD1">
      <w:pPr>
        <w:rPr>
          <w:rFonts w:ascii="Verdana" w:hAnsi="Verdana" w:cs="Arial"/>
          <w:sz w:val="20"/>
          <w:szCs w:val="20"/>
          <w:lang w:val="tr-TR"/>
        </w:rPr>
      </w:pPr>
    </w:p>
    <w:p w:rsidR="00091DD1" w:rsidRPr="00540996" w:rsidRDefault="00091DD1" w:rsidP="00091DD1">
      <w:pPr>
        <w:ind w:left="1276"/>
        <w:rPr>
          <w:rFonts w:ascii="Verdana" w:hAnsi="Verdana" w:cs="Arial"/>
          <w:b/>
          <w:sz w:val="20"/>
          <w:szCs w:val="20"/>
          <w:lang w:val="tr-TR"/>
        </w:rPr>
      </w:pPr>
      <w:r w:rsidRPr="00540996">
        <w:rPr>
          <w:rFonts w:ascii="Verdana" w:hAnsi="Verdana" w:cs="Arial"/>
          <w:b/>
          <w:sz w:val="20"/>
          <w:szCs w:val="20"/>
          <w:lang w:val="tr-TR"/>
        </w:rPr>
        <w:t>BES’e girişi artırmak için Vergi avantajlarının artırılması,</w:t>
      </w:r>
    </w:p>
    <w:p w:rsidR="00091DD1" w:rsidRPr="00540996" w:rsidRDefault="00091DD1" w:rsidP="00091DD1">
      <w:pPr>
        <w:ind w:left="1431"/>
        <w:rPr>
          <w:rFonts w:ascii="Verdana" w:hAnsi="Verdana" w:cs="Arial"/>
          <w:b/>
          <w:sz w:val="20"/>
          <w:szCs w:val="20"/>
          <w:lang w:val="tr-TR"/>
        </w:rPr>
      </w:pPr>
    </w:p>
    <w:p w:rsidR="00091DD1" w:rsidRPr="00540996" w:rsidRDefault="00091DD1" w:rsidP="00091DD1">
      <w:pPr>
        <w:ind w:left="1276"/>
        <w:rPr>
          <w:rFonts w:ascii="Verdana" w:hAnsi="Verdana" w:cs="Arial"/>
          <w:b/>
          <w:sz w:val="20"/>
          <w:szCs w:val="20"/>
          <w:lang w:val="tr-TR"/>
        </w:rPr>
      </w:pPr>
      <w:r w:rsidRPr="00540996">
        <w:rPr>
          <w:rFonts w:ascii="Verdana" w:hAnsi="Verdana" w:cs="Arial"/>
          <w:b/>
          <w:sz w:val="20"/>
          <w:szCs w:val="20"/>
          <w:lang w:val="tr-TR"/>
        </w:rPr>
        <w:t>(BES) Ürün farklılaşması için yeni yatırım fonları kurulmasına olanak veren mevzuatların çıkarılması,</w:t>
      </w:r>
    </w:p>
    <w:p w:rsidR="002A5334" w:rsidRPr="00540996" w:rsidRDefault="002A5334" w:rsidP="002A5334">
      <w:pPr>
        <w:ind w:left="491"/>
        <w:rPr>
          <w:rFonts w:ascii="Verdana" w:hAnsi="Verdana" w:cs="Arial"/>
          <w:sz w:val="20"/>
          <w:szCs w:val="20"/>
          <w:lang w:val="tr-TR"/>
        </w:rPr>
      </w:pPr>
    </w:p>
    <w:p w:rsidR="002A5334" w:rsidRPr="00540996" w:rsidRDefault="002A5334" w:rsidP="002A5334">
      <w:pPr>
        <w:numPr>
          <w:ilvl w:val="0"/>
          <w:numId w:val="9"/>
        </w:numPr>
        <w:rPr>
          <w:rFonts w:ascii="Verdana" w:hAnsi="Verdana" w:cs="Arial"/>
          <w:sz w:val="20"/>
          <w:szCs w:val="20"/>
          <w:lang w:val="tr-TR"/>
        </w:rPr>
      </w:pPr>
      <w:r w:rsidRPr="00540996">
        <w:rPr>
          <w:rFonts w:ascii="Verdana" w:hAnsi="Verdana" w:cs="Arial"/>
          <w:sz w:val="20"/>
          <w:szCs w:val="20"/>
          <w:lang w:val="tr-TR"/>
        </w:rPr>
        <w:t>Kamu otoritesince yapılan düzenlemelerin, Birlik ve sektör şirketlerinin görüşlerini alındıktan sonra uygulamaya konmasının daha sağlıklı sonuçlar verecektir.</w:t>
      </w:r>
    </w:p>
    <w:p w:rsidR="00091DD1" w:rsidRPr="00540996" w:rsidRDefault="00091DD1" w:rsidP="00091DD1">
      <w:pPr>
        <w:ind w:left="504"/>
        <w:rPr>
          <w:rFonts w:ascii="Verdana" w:hAnsi="Verdana" w:cs="Arial"/>
          <w:sz w:val="20"/>
          <w:szCs w:val="20"/>
          <w:lang w:val="tr-TR"/>
        </w:rPr>
      </w:pPr>
    </w:p>
    <w:p w:rsidR="002A5334" w:rsidRPr="00540996" w:rsidRDefault="002A5334" w:rsidP="002A5334">
      <w:pPr>
        <w:numPr>
          <w:ilvl w:val="0"/>
          <w:numId w:val="9"/>
        </w:numPr>
        <w:rPr>
          <w:rFonts w:ascii="Verdana" w:hAnsi="Verdana" w:cs="Arial"/>
          <w:sz w:val="20"/>
          <w:szCs w:val="20"/>
          <w:lang w:val="tr-TR"/>
        </w:rPr>
      </w:pPr>
      <w:r w:rsidRPr="00540996">
        <w:rPr>
          <w:rFonts w:ascii="Verdana" w:hAnsi="Verdana" w:cs="Arial"/>
          <w:sz w:val="20"/>
          <w:szCs w:val="20"/>
          <w:lang w:val="tr-TR"/>
        </w:rPr>
        <w:t>Bilanço ve gelir tablolarında önemli dalgalanma yaratacak (teknik karşılıklar gibi) uygulamaların, tek sefer yerine (örneğin 5 yıl gibi) vadeye yayılması gerektiği düşünülmektedir. Vadeye yayma, sektör şirketlerini, mevcut olumsuz koşullarda, olası ani sendelemelerden koruyacak, yerli ve yabancı yatırımcılarda oluşabilecek soru işaretlerini engelleyecektir.</w:t>
      </w:r>
    </w:p>
    <w:p w:rsidR="002A5334" w:rsidRPr="00540996" w:rsidRDefault="002A5334" w:rsidP="002A5334">
      <w:pPr>
        <w:rPr>
          <w:rFonts w:ascii="Verdana" w:hAnsi="Verdana" w:cs="Arial"/>
          <w:sz w:val="20"/>
          <w:szCs w:val="20"/>
          <w:lang w:val="tr-TR"/>
        </w:rPr>
      </w:pPr>
    </w:p>
    <w:p w:rsidR="002A5334" w:rsidRPr="00540996" w:rsidRDefault="002A5334" w:rsidP="002A5334">
      <w:pPr>
        <w:numPr>
          <w:ilvl w:val="0"/>
          <w:numId w:val="9"/>
        </w:numPr>
        <w:rPr>
          <w:rFonts w:ascii="Verdana" w:hAnsi="Verdana"/>
          <w:sz w:val="20"/>
          <w:szCs w:val="20"/>
          <w:lang w:val="tr-TR"/>
        </w:rPr>
      </w:pPr>
      <w:r w:rsidRPr="00540996">
        <w:rPr>
          <w:rFonts w:ascii="Verdana" w:hAnsi="Verdana"/>
          <w:sz w:val="20"/>
          <w:szCs w:val="20"/>
          <w:lang w:val="tr-TR"/>
        </w:rPr>
        <w:t xml:space="preserve">Sigortalıları bilgilendirmek ve sektöre güveni pekiştirmek için Hazine-Birlik-TOBB koordinasyonunda kampanyalar gerçekleştirilmelidir. </w:t>
      </w:r>
      <w:r w:rsidR="00FB331B" w:rsidRPr="00540996">
        <w:rPr>
          <w:rFonts w:ascii="Verdana" w:hAnsi="Verdana"/>
          <w:sz w:val="20"/>
          <w:szCs w:val="20"/>
          <w:lang w:val="tr-TR"/>
        </w:rPr>
        <w:t>(örneğin: zorunlu deprem sigortalılık oranı halen 20% , sorumluluk sigortaları yaygın değil, zorunlu trafik sigortalarında çoğu motosiklet ve traktörler sigortasız)</w:t>
      </w:r>
    </w:p>
    <w:p w:rsidR="00091DD1" w:rsidRPr="00540996" w:rsidRDefault="00091DD1" w:rsidP="00091DD1">
      <w:pPr>
        <w:rPr>
          <w:rFonts w:ascii="Verdana" w:hAnsi="Verdana"/>
          <w:sz w:val="20"/>
          <w:szCs w:val="20"/>
          <w:lang w:val="tr-TR"/>
        </w:rPr>
      </w:pPr>
    </w:p>
    <w:p w:rsidR="002A5334" w:rsidRPr="00540996" w:rsidRDefault="002A5334" w:rsidP="00FB331B">
      <w:pPr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540996">
        <w:rPr>
          <w:rFonts w:ascii="Verdana" w:hAnsi="Verdana"/>
          <w:sz w:val="20"/>
          <w:szCs w:val="20"/>
          <w:lang w:val="tr-TR"/>
        </w:rPr>
        <w:t>Haksız rekabeti engelleyici kararları alma konusu başta olmak üzere,  Birliğin sigorta sektöründe daha etkin bir rol üstlenmesi gerekmektedir.</w:t>
      </w:r>
    </w:p>
    <w:p w:rsidR="00091DD1" w:rsidRPr="00540996" w:rsidRDefault="00091DD1" w:rsidP="00091DD1">
      <w:pPr>
        <w:pStyle w:val="ListeParagraf"/>
        <w:rPr>
          <w:rFonts w:ascii="Verdana" w:hAnsi="Verdana"/>
          <w:sz w:val="20"/>
          <w:szCs w:val="20"/>
        </w:rPr>
      </w:pPr>
    </w:p>
    <w:p w:rsidR="00091DD1" w:rsidRPr="00540996" w:rsidRDefault="00091DD1" w:rsidP="00091DD1">
      <w:pPr>
        <w:ind w:left="1224"/>
        <w:rPr>
          <w:rFonts w:ascii="Verdana" w:hAnsi="Verdana" w:cs="Arial"/>
          <w:b/>
          <w:sz w:val="20"/>
          <w:szCs w:val="20"/>
          <w:lang w:val="tr-TR"/>
        </w:rPr>
      </w:pPr>
      <w:r w:rsidRPr="00540996">
        <w:rPr>
          <w:rFonts w:ascii="Verdana" w:hAnsi="Verdana" w:cs="Arial"/>
          <w:b/>
          <w:sz w:val="20"/>
          <w:szCs w:val="20"/>
          <w:lang w:val="tr-TR"/>
        </w:rPr>
        <w:t>Birliğin, sektör şirketlerinin ihtiyaçlarını anlaması ve kamu otoritesi ve şirketler arasında köprü rolünü daha da etkin yapmalıdır.</w:t>
      </w:r>
    </w:p>
    <w:p w:rsidR="00091DD1" w:rsidRPr="00540996" w:rsidRDefault="00091DD1" w:rsidP="00091DD1">
      <w:pPr>
        <w:ind w:left="720"/>
        <w:rPr>
          <w:rFonts w:ascii="Verdana" w:hAnsi="Verdana" w:cs="Arial"/>
          <w:b/>
          <w:sz w:val="20"/>
          <w:szCs w:val="20"/>
          <w:lang w:val="tr-TR"/>
        </w:rPr>
      </w:pPr>
    </w:p>
    <w:p w:rsidR="00091DD1" w:rsidRPr="00540996" w:rsidRDefault="00091DD1" w:rsidP="00091DD1">
      <w:pPr>
        <w:ind w:left="1224"/>
        <w:rPr>
          <w:rFonts w:ascii="Verdana" w:hAnsi="Verdana" w:cs="Arial"/>
          <w:b/>
          <w:sz w:val="20"/>
          <w:szCs w:val="20"/>
          <w:lang w:val="tr-TR"/>
        </w:rPr>
      </w:pPr>
      <w:r w:rsidRPr="00540996">
        <w:rPr>
          <w:rFonts w:ascii="Verdana" w:hAnsi="Verdana" w:cs="Arial"/>
          <w:b/>
          <w:sz w:val="20"/>
          <w:szCs w:val="20"/>
          <w:lang w:val="tr-TR"/>
        </w:rPr>
        <w:t>Sektör ile ilgili tüm mevzuat ve yapısal düzenlemelerde aktif rol almalıdır.</w:t>
      </w:r>
    </w:p>
    <w:p w:rsidR="00091DD1" w:rsidRPr="00540996" w:rsidRDefault="00091DD1" w:rsidP="00091DD1">
      <w:pPr>
        <w:pStyle w:val="ListeParagraf"/>
        <w:ind w:left="1428"/>
        <w:rPr>
          <w:rFonts w:ascii="Verdana" w:hAnsi="Verdana" w:cs="Arial"/>
          <w:b/>
          <w:sz w:val="20"/>
          <w:szCs w:val="20"/>
          <w:lang w:val="tr-TR"/>
        </w:rPr>
      </w:pPr>
    </w:p>
    <w:p w:rsidR="00091DD1" w:rsidRPr="00540996" w:rsidRDefault="00091DD1" w:rsidP="00091DD1">
      <w:pPr>
        <w:ind w:left="1224"/>
        <w:rPr>
          <w:rFonts w:ascii="Verdana" w:hAnsi="Verdana" w:cs="Arial"/>
          <w:b/>
          <w:sz w:val="20"/>
          <w:szCs w:val="20"/>
          <w:lang w:val="tr-TR"/>
        </w:rPr>
      </w:pPr>
      <w:r w:rsidRPr="00540996">
        <w:rPr>
          <w:rFonts w:ascii="Verdana" w:hAnsi="Verdana" w:cs="Arial"/>
          <w:b/>
          <w:sz w:val="20"/>
          <w:szCs w:val="20"/>
          <w:lang w:val="tr-TR"/>
        </w:rPr>
        <w:t>Sabancı sigorta hizmetleri grubu, Birlik ve faaliyetlerinde aktif rol alacaktır.</w:t>
      </w:r>
    </w:p>
    <w:p w:rsidR="00091DD1" w:rsidRPr="00540996" w:rsidRDefault="00091DD1" w:rsidP="00091DD1">
      <w:pPr>
        <w:ind w:left="720"/>
        <w:rPr>
          <w:rFonts w:ascii="Verdana" w:hAnsi="Verdana" w:cs="Arial"/>
          <w:b/>
          <w:sz w:val="20"/>
          <w:szCs w:val="20"/>
          <w:lang w:val="tr-TR"/>
        </w:rPr>
      </w:pPr>
    </w:p>
    <w:p w:rsidR="00091DD1" w:rsidRPr="00540996" w:rsidRDefault="00091DD1" w:rsidP="00091DD1">
      <w:pPr>
        <w:ind w:left="504"/>
        <w:rPr>
          <w:rFonts w:ascii="Verdana" w:hAnsi="Verdana"/>
          <w:sz w:val="20"/>
          <w:szCs w:val="20"/>
        </w:rPr>
      </w:pPr>
    </w:p>
    <w:p w:rsidR="002A5334" w:rsidRPr="00540996" w:rsidRDefault="002A5334" w:rsidP="00FB331B">
      <w:pPr>
        <w:pStyle w:val="ListeParagraf1"/>
        <w:ind w:left="0"/>
        <w:rPr>
          <w:rFonts w:ascii="Verdana" w:eastAsia="Times New Roman" w:hAnsi="Verdana" w:cs="Arial"/>
          <w:color w:val="FF0000"/>
          <w:sz w:val="20"/>
          <w:szCs w:val="20"/>
        </w:rPr>
      </w:pPr>
    </w:p>
    <w:p w:rsidR="002B3D27" w:rsidRPr="00540996" w:rsidRDefault="002B3D27" w:rsidP="00734886">
      <w:pPr>
        <w:numPr>
          <w:ilvl w:val="0"/>
          <w:numId w:val="10"/>
        </w:numPr>
        <w:rPr>
          <w:rFonts w:ascii="Verdana" w:hAnsi="Verdana" w:cs="Arial"/>
          <w:sz w:val="20"/>
          <w:szCs w:val="20"/>
          <w:lang w:val="tr-TR"/>
        </w:rPr>
      </w:pPr>
      <w:r w:rsidRPr="00540996">
        <w:rPr>
          <w:rFonts w:ascii="Verdana" w:hAnsi="Verdana" w:cs="Arial"/>
          <w:sz w:val="20"/>
          <w:szCs w:val="20"/>
          <w:lang w:val="tr-TR"/>
        </w:rPr>
        <w:t xml:space="preserve">Önümüzdeki dönemde Sabancı Holding </w:t>
      </w:r>
      <w:r w:rsidR="00C75682" w:rsidRPr="00540996">
        <w:rPr>
          <w:rFonts w:ascii="Verdana" w:hAnsi="Verdana" w:cs="Arial"/>
          <w:sz w:val="20"/>
          <w:szCs w:val="20"/>
          <w:lang w:val="tr-TR"/>
        </w:rPr>
        <w:t>Sigorta</w:t>
      </w:r>
      <w:r w:rsidRPr="00540996">
        <w:rPr>
          <w:rFonts w:ascii="Verdana" w:hAnsi="Verdana" w:cs="Arial"/>
          <w:sz w:val="20"/>
          <w:szCs w:val="20"/>
          <w:lang w:val="tr-TR"/>
        </w:rPr>
        <w:t xml:space="preserve"> Grubu için öncelikli hedef pazarı </w:t>
      </w:r>
      <w:r w:rsidR="00C51DA3" w:rsidRPr="00540996">
        <w:rPr>
          <w:rFonts w:ascii="Verdana" w:hAnsi="Verdana" w:cs="Arial"/>
          <w:sz w:val="20"/>
          <w:szCs w:val="20"/>
          <w:lang w:val="tr-TR"/>
        </w:rPr>
        <w:t>geliştirmek</w:t>
      </w:r>
      <w:r w:rsidRPr="00540996">
        <w:rPr>
          <w:rFonts w:ascii="Verdana" w:hAnsi="Verdana" w:cs="Arial"/>
          <w:sz w:val="20"/>
          <w:szCs w:val="20"/>
          <w:lang w:val="tr-TR"/>
        </w:rPr>
        <w:t xml:space="preserve"> ve sürdürülebilir</w:t>
      </w:r>
      <w:r w:rsidR="00661730" w:rsidRPr="00540996">
        <w:rPr>
          <w:rFonts w:ascii="Verdana" w:hAnsi="Verdana" w:cs="Arial"/>
          <w:sz w:val="20"/>
          <w:szCs w:val="20"/>
          <w:lang w:val="tr-TR"/>
        </w:rPr>
        <w:t xml:space="preserve"> karlı</w:t>
      </w:r>
      <w:r w:rsidRPr="00540996">
        <w:rPr>
          <w:rFonts w:ascii="Verdana" w:hAnsi="Verdana" w:cs="Arial"/>
          <w:sz w:val="20"/>
          <w:szCs w:val="20"/>
          <w:lang w:val="tr-TR"/>
        </w:rPr>
        <w:t xml:space="preserve"> </w:t>
      </w:r>
      <w:r w:rsidR="00C51DA3" w:rsidRPr="00540996">
        <w:rPr>
          <w:rFonts w:ascii="Verdana" w:hAnsi="Verdana" w:cs="Arial"/>
          <w:sz w:val="20"/>
          <w:szCs w:val="20"/>
          <w:lang w:val="tr-TR"/>
        </w:rPr>
        <w:t>büyümedir</w:t>
      </w:r>
      <w:r w:rsidRPr="00540996">
        <w:rPr>
          <w:rFonts w:ascii="Verdana" w:hAnsi="Verdana" w:cs="Arial"/>
          <w:sz w:val="20"/>
          <w:szCs w:val="20"/>
          <w:lang w:val="tr-TR"/>
        </w:rPr>
        <w:t xml:space="preserve">. </w:t>
      </w:r>
      <w:r w:rsidR="0011673B" w:rsidRPr="00540996">
        <w:rPr>
          <w:rFonts w:ascii="Verdana" w:hAnsi="Verdana" w:cs="Arial"/>
          <w:sz w:val="20"/>
          <w:szCs w:val="20"/>
          <w:lang w:val="tr-TR"/>
        </w:rPr>
        <w:t>2010’</w:t>
      </w:r>
      <w:r w:rsidR="00661730" w:rsidRPr="00540996">
        <w:rPr>
          <w:rFonts w:ascii="Verdana" w:hAnsi="Verdana" w:cs="Arial"/>
          <w:sz w:val="20"/>
          <w:szCs w:val="20"/>
          <w:lang w:val="tr-TR"/>
        </w:rPr>
        <w:t>d</w:t>
      </w:r>
      <w:r w:rsidR="0011673B" w:rsidRPr="00540996">
        <w:rPr>
          <w:rFonts w:ascii="Verdana" w:hAnsi="Verdana" w:cs="Arial"/>
          <w:sz w:val="20"/>
          <w:szCs w:val="20"/>
          <w:lang w:val="tr-TR"/>
        </w:rPr>
        <w:t xml:space="preserve">a </w:t>
      </w:r>
      <w:r w:rsidR="00661730" w:rsidRPr="00540996">
        <w:rPr>
          <w:rFonts w:ascii="Verdana" w:hAnsi="Verdana" w:cs="Arial"/>
          <w:sz w:val="20"/>
          <w:szCs w:val="20"/>
          <w:lang w:val="tr-TR"/>
        </w:rPr>
        <w:t xml:space="preserve">her iki şirketimiz de </w:t>
      </w:r>
      <w:r w:rsidR="0011673B" w:rsidRPr="00540996">
        <w:rPr>
          <w:rFonts w:ascii="Verdana" w:hAnsi="Verdana" w:cs="Arial"/>
          <w:sz w:val="20"/>
          <w:szCs w:val="20"/>
          <w:lang w:val="tr-TR"/>
        </w:rPr>
        <w:t>güçlü ortaklık ve sermaye yapısı, marka bilinirliliği, tecrübeli</w:t>
      </w:r>
      <w:r w:rsidR="00661730" w:rsidRPr="00540996">
        <w:rPr>
          <w:rFonts w:ascii="Verdana" w:hAnsi="Verdana" w:cs="Arial"/>
          <w:sz w:val="20"/>
          <w:szCs w:val="20"/>
          <w:lang w:val="tr-TR"/>
        </w:rPr>
        <w:t xml:space="preserve"> yönetim</w:t>
      </w:r>
      <w:r w:rsidR="0011673B" w:rsidRPr="00540996">
        <w:rPr>
          <w:rFonts w:ascii="Verdana" w:hAnsi="Verdana" w:cs="Arial"/>
          <w:sz w:val="20"/>
          <w:szCs w:val="20"/>
          <w:lang w:val="tr-TR"/>
        </w:rPr>
        <w:t xml:space="preserve"> ve çok kanallı dağıtım ağı ile </w:t>
      </w:r>
      <w:r w:rsidR="00661730" w:rsidRPr="00540996">
        <w:rPr>
          <w:rFonts w:ascii="Verdana" w:hAnsi="Verdana" w:cs="Arial"/>
          <w:sz w:val="20"/>
          <w:szCs w:val="20"/>
          <w:lang w:val="tr-TR"/>
        </w:rPr>
        <w:t>büyümeye odaklanacaktır</w:t>
      </w:r>
      <w:r w:rsidR="0011673B" w:rsidRPr="00540996">
        <w:rPr>
          <w:rFonts w:ascii="Verdana" w:hAnsi="Verdana" w:cs="Arial"/>
          <w:sz w:val="20"/>
          <w:szCs w:val="20"/>
          <w:lang w:val="tr-TR"/>
        </w:rPr>
        <w:t xml:space="preserve">.  </w:t>
      </w:r>
    </w:p>
    <w:p w:rsidR="002B3D27" w:rsidRPr="00540996" w:rsidRDefault="002B3D27" w:rsidP="00734886">
      <w:pPr>
        <w:pStyle w:val="ListeParagraf"/>
        <w:rPr>
          <w:rFonts w:ascii="Verdana" w:hAnsi="Verdana" w:cs="Arial"/>
          <w:sz w:val="20"/>
          <w:szCs w:val="20"/>
          <w:lang w:val="tr-TR"/>
        </w:rPr>
      </w:pPr>
    </w:p>
    <w:p w:rsidR="00091DD1" w:rsidRPr="00540996" w:rsidRDefault="00091DD1" w:rsidP="00734886">
      <w:pPr>
        <w:pStyle w:val="ListeParagraf"/>
        <w:rPr>
          <w:rFonts w:ascii="Verdana" w:hAnsi="Verdana" w:cs="Arial"/>
          <w:b/>
          <w:sz w:val="20"/>
          <w:szCs w:val="20"/>
          <w:lang w:val="tr-TR"/>
        </w:rPr>
      </w:pPr>
      <w:r w:rsidRPr="00540996">
        <w:rPr>
          <w:rFonts w:ascii="Verdana" w:hAnsi="Verdana" w:cs="Arial"/>
          <w:b/>
          <w:sz w:val="20"/>
          <w:szCs w:val="20"/>
          <w:lang w:val="tr-TR"/>
        </w:rPr>
        <w:t>Sermaye yeterlilik oranı göstergesi – Net Karşılıklar / Özsermaye</w:t>
      </w:r>
    </w:p>
    <w:p w:rsidR="00091DD1" w:rsidRPr="00540996" w:rsidRDefault="00091DD1" w:rsidP="00734886">
      <w:pPr>
        <w:pStyle w:val="ListeParagraf"/>
        <w:rPr>
          <w:rFonts w:ascii="Verdana" w:hAnsi="Verdana" w:cs="Arial"/>
          <w:b/>
          <w:sz w:val="20"/>
          <w:szCs w:val="20"/>
          <w:lang w:val="tr-TR"/>
        </w:rPr>
      </w:pPr>
    </w:p>
    <w:p w:rsidR="00091DD1" w:rsidRPr="00540996" w:rsidRDefault="00091DD1" w:rsidP="00734886">
      <w:pPr>
        <w:pStyle w:val="ListeParagraf"/>
        <w:rPr>
          <w:rFonts w:ascii="Verdana" w:hAnsi="Verdana" w:cs="Arial"/>
          <w:b/>
          <w:sz w:val="20"/>
          <w:szCs w:val="20"/>
          <w:lang w:val="tr-TR"/>
        </w:rPr>
      </w:pPr>
      <w:r w:rsidRPr="00540996">
        <w:rPr>
          <w:rFonts w:ascii="Verdana" w:hAnsi="Verdana" w:cs="Arial"/>
          <w:b/>
          <w:sz w:val="20"/>
          <w:szCs w:val="20"/>
          <w:lang w:val="tr-TR"/>
        </w:rPr>
        <w:t>Elementer sektör (09/09)</w:t>
      </w:r>
      <w:r w:rsidRPr="00540996">
        <w:rPr>
          <w:rFonts w:ascii="Verdana" w:hAnsi="Verdana" w:cs="Arial"/>
          <w:b/>
          <w:sz w:val="20"/>
          <w:szCs w:val="20"/>
          <w:lang w:val="tr-TR"/>
        </w:rPr>
        <w:tab/>
        <w:t>0.94</w:t>
      </w:r>
    </w:p>
    <w:p w:rsidR="00091DD1" w:rsidRPr="00540996" w:rsidRDefault="00091DD1" w:rsidP="00734886">
      <w:pPr>
        <w:pStyle w:val="ListeParagraf"/>
        <w:rPr>
          <w:rFonts w:ascii="Verdana" w:hAnsi="Verdana" w:cs="Arial"/>
          <w:b/>
          <w:sz w:val="20"/>
          <w:szCs w:val="20"/>
          <w:lang w:val="tr-TR"/>
        </w:rPr>
      </w:pPr>
      <w:r w:rsidRPr="00540996">
        <w:rPr>
          <w:rFonts w:ascii="Verdana" w:hAnsi="Verdana" w:cs="Arial"/>
          <w:b/>
          <w:sz w:val="20"/>
          <w:szCs w:val="20"/>
          <w:lang w:val="tr-TR"/>
        </w:rPr>
        <w:t>Aksigorta</w:t>
      </w:r>
      <w:r w:rsidRPr="00540996">
        <w:rPr>
          <w:rFonts w:ascii="Verdana" w:hAnsi="Verdana" w:cs="Arial"/>
          <w:b/>
          <w:sz w:val="20"/>
          <w:szCs w:val="20"/>
          <w:lang w:val="tr-TR"/>
        </w:rPr>
        <w:tab/>
      </w:r>
      <w:r w:rsidRPr="00540996">
        <w:rPr>
          <w:rFonts w:ascii="Verdana" w:hAnsi="Verdana" w:cs="Arial"/>
          <w:b/>
          <w:sz w:val="20"/>
          <w:szCs w:val="20"/>
          <w:lang w:val="tr-TR"/>
        </w:rPr>
        <w:tab/>
      </w:r>
      <w:r w:rsidRPr="00540996">
        <w:rPr>
          <w:rFonts w:ascii="Verdana" w:hAnsi="Verdana" w:cs="Arial"/>
          <w:b/>
          <w:sz w:val="20"/>
          <w:szCs w:val="20"/>
          <w:lang w:val="tr-TR"/>
        </w:rPr>
        <w:tab/>
      </w:r>
      <w:r w:rsidRPr="00540996">
        <w:rPr>
          <w:rFonts w:ascii="Verdana" w:hAnsi="Verdana" w:cs="Arial"/>
          <w:b/>
          <w:sz w:val="20"/>
          <w:szCs w:val="20"/>
          <w:lang w:val="tr-TR"/>
        </w:rPr>
        <w:tab/>
        <w:t>0.19</w:t>
      </w:r>
    </w:p>
    <w:p w:rsidR="00091DD1" w:rsidRPr="00540996" w:rsidRDefault="00091DD1" w:rsidP="00734886">
      <w:pPr>
        <w:pStyle w:val="ListeParagraf"/>
        <w:rPr>
          <w:rFonts w:ascii="Verdana" w:hAnsi="Verdana" w:cs="Arial"/>
          <w:b/>
          <w:sz w:val="20"/>
          <w:szCs w:val="20"/>
          <w:lang w:val="tr-TR"/>
        </w:rPr>
      </w:pPr>
    </w:p>
    <w:p w:rsidR="00091DD1" w:rsidRPr="00540996" w:rsidRDefault="00091DD1" w:rsidP="00734886">
      <w:pPr>
        <w:pStyle w:val="ListeParagraf"/>
        <w:rPr>
          <w:rFonts w:ascii="Verdana" w:hAnsi="Verdana" w:cs="Arial"/>
          <w:b/>
          <w:sz w:val="20"/>
          <w:szCs w:val="20"/>
          <w:lang w:val="tr-TR"/>
        </w:rPr>
      </w:pPr>
      <w:r w:rsidRPr="00540996">
        <w:rPr>
          <w:rFonts w:ascii="Verdana" w:hAnsi="Verdana" w:cs="Arial"/>
          <w:b/>
          <w:sz w:val="20"/>
          <w:szCs w:val="20"/>
          <w:lang w:val="tr-TR"/>
        </w:rPr>
        <w:t>Hayat şirketi sektör</w:t>
      </w:r>
      <w:r w:rsidRPr="00540996">
        <w:rPr>
          <w:rFonts w:ascii="Verdana" w:hAnsi="Verdana" w:cs="Arial"/>
          <w:b/>
          <w:sz w:val="20"/>
          <w:szCs w:val="20"/>
          <w:lang w:val="tr-TR"/>
        </w:rPr>
        <w:tab/>
      </w:r>
      <w:r w:rsidRPr="00540996">
        <w:rPr>
          <w:rFonts w:ascii="Verdana" w:hAnsi="Verdana" w:cs="Arial"/>
          <w:b/>
          <w:sz w:val="20"/>
          <w:szCs w:val="20"/>
          <w:lang w:val="tr-TR"/>
        </w:rPr>
        <w:tab/>
        <w:t>0.28</w:t>
      </w:r>
    </w:p>
    <w:p w:rsidR="00091DD1" w:rsidRPr="00540996" w:rsidRDefault="00091DD1" w:rsidP="00734886">
      <w:pPr>
        <w:pStyle w:val="ListeParagraf"/>
        <w:rPr>
          <w:rFonts w:ascii="Verdana" w:hAnsi="Verdana" w:cs="Arial"/>
          <w:b/>
          <w:sz w:val="20"/>
          <w:szCs w:val="20"/>
          <w:lang w:val="tr-TR"/>
        </w:rPr>
      </w:pPr>
      <w:r w:rsidRPr="00540996">
        <w:rPr>
          <w:rFonts w:ascii="Verdana" w:hAnsi="Verdana" w:cs="Arial"/>
          <w:b/>
          <w:sz w:val="20"/>
          <w:szCs w:val="20"/>
          <w:lang w:val="tr-TR"/>
        </w:rPr>
        <w:t>AvivaSA</w:t>
      </w:r>
      <w:r w:rsidRPr="00540996">
        <w:rPr>
          <w:rFonts w:ascii="Verdana" w:hAnsi="Verdana" w:cs="Arial"/>
          <w:b/>
          <w:sz w:val="20"/>
          <w:szCs w:val="20"/>
          <w:lang w:val="tr-TR"/>
        </w:rPr>
        <w:tab/>
      </w:r>
      <w:r w:rsidRPr="00540996">
        <w:rPr>
          <w:rFonts w:ascii="Verdana" w:hAnsi="Verdana" w:cs="Arial"/>
          <w:b/>
          <w:sz w:val="20"/>
          <w:szCs w:val="20"/>
          <w:lang w:val="tr-TR"/>
        </w:rPr>
        <w:tab/>
      </w:r>
      <w:r w:rsidRPr="00540996">
        <w:rPr>
          <w:rFonts w:ascii="Verdana" w:hAnsi="Verdana" w:cs="Arial"/>
          <w:b/>
          <w:sz w:val="20"/>
          <w:szCs w:val="20"/>
          <w:lang w:val="tr-TR"/>
        </w:rPr>
        <w:tab/>
      </w:r>
      <w:r w:rsidRPr="00540996">
        <w:rPr>
          <w:rFonts w:ascii="Verdana" w:hAnsi="Verdana" w:cs="Arial"/>
          <w:b/>
          <w:sz w:val="20"/>
          <w:szCs w:val="20"/>
          <w:lang w:val="tr-TR"/>
        </w:rPr>
        <w:tab/>
        <w:t>0.17</w:t>
      </w:r>
    </w:p>
    <w:p w:rsidR="00091DD1" w:rsidRPr="00540996" w:rsidRDefault="00091DD1" w:rsidP="00734886">
      <w:pPr>
        <w:pStyle w:val="ListeParagraf"/>
        <w:rPr>
          <w:rFonts w:ascii="Verdana" w:hAnsi="Verdana" w:cs="Arial"/>
          <w:b/>
          <w:sz w:val="20"/>
          <w:szCs w:val="20"/>
          <w:lang w:val="tr-TR"/>
        </w:rPr>
      </w:pPr>
    </w:p>
    <w:p w:rsidR="00091DD1" w:rsidRPr="00540996" w:rsidRDefault="00091DD1" w:rsidP="00734886">
      <w:pPr>
        <w:pStyle w:val="ListeParagraf"/>
        <w:rPr>
          <w:rFonts w:ascii="Verdana" w:hAnsi="Verdana" w:cs="Arial"/>
          <w:b/>
          <w:sz w:val="20"/>
          <w:szCs w:val="20"/>
          <w:lang w:val="tr-TR"/>
        </w:rPr>
      </w:pPr>
      <w:r w:rsidRPr="00540996">
        <w:rPr>
          <w:rFonts w:ascii="Verdana" w:hAnsi="Verdana" w:cs="Arial"/>
          <w:b/>
          <w:sz w:val="20"/>
          <w:szCs w:val="20"/>
          <w:lang w:val="tr-TR"/>
        </w:rPr>
        <w:t xml:space="preserve">Şirket öz kaynaklarımız yasal belirlenen seviyelerin AvivaSA da 2.25 katı (yani 100 TL gerekirken 225 TL), Aksigorta da ise </w:t>
      </w:r>
      <w:r w:rsidR="004D04ED" w:rsidRPr="00540996">
        <w:rPr>
          <w:rFonts w:ascii="Verdana" w:hAnsi="Verdana" w:cs="Arial"/>
          <w:b/>
          <w:sz w:val="20"/>
          <w:szCs w:val="20"/>
          <w:lang w:val="tr-TR"/>
        </w:rPr>
        <w:t>2 katın üzerindedir</w:t>
      </w:r>
    </w:p>
    <w:p w:rsidR="00091DD1" w:rsidRPr="00540996" w:rsidRDefault="00091DD1" w:rsidP="00734886">
      <w:pPr>
        <w:pStyle w:val="ListeParagraf"/>
        <w:rPr>
          <w:rFonts w:ascii="Verdana" w:hAnsi="Verdana" w:cs="Arial"/>
          <w:b/>
          <w:sz w:val="20"/>
          <w:szCs w:val="20"/>
          <w:lang w:val="tr-TR"/>
        </w:rPr>
      </w:pPr>
    </w:p>
    <w:p w:rsidR="0011673B" w:rsidRPr="00540996" w:rsidRDefault="00661730" w:rsidP="00734886">
      <w:pPr>
        <w:numPr>
          <w:ilvl w:val="0"/>
          <w:numId w:val="10"/>
        </w:numPr>
        <w:rPr>
          <w:rFonts w:ascii="Verdana" w:hAnsi="Verdana" w:cs="Arial"/>
          <w:sz w:val="20"/>
          <w:szCs w:val="20"/>
          <w:lang w:val="tr-TR"/>
        </w:rPr>
      </w:pPr>
      <w:r w:rsidRPr="00540996">
        <w:rPr>
          <w:rFonts w:ascii="Verdana" w:hAnsi="Verdana" w:cs="Arial"/>
          <w:sz w:val="20"/>
          <w:szCs w:val="20"/>
          <w:lang w:val="tr-TR"/>
        </w:rPr>
        <w:t>Büyüme hedeflerimizi</w:t>
      </w:r>
      <w:r w:rsidR="0011673B" w:rsidRPr="00540996">
        <w:rPr>
          <w:rFonts w:ascii="Verdana" w:hAnsi="Verdana" w:cs="Arial"/>
          <w:sz w:val="20"/>
          <w:szCs w:val="20"/>
          <w:lang w:val="tr-TR"/>
        </w:rPr>
        <w:t xml:space="preserve"> yıkıcı fiyat odaklı rekabet </w:t>
      </w:r>
      <w:r w:rsidRPr="00540996">
        <w:rPr>
          <w:rFonts w:ascii="Verdana" w:hAnsi="Verdana" w:cs="Arial"/>
          <w:sz w:val="20"/>
          <w:szCs w:val="20"/>
          <w:lang w:val="tr-TR"/>
        </w:rPr>
        <w:t>ederek değil,</w:t>
      </w:r>
      <w:r w:rsidR="0011673B" w:rsidRPr="00540996">
        <w:rPr>
          <w:rFonts w:ascii="Verdana" w:hAnsi="Verdana" w:cs="Arial"/>
          <w:sz w:val="20"/>
          <w:szCs w:val="20"/>
          <w:lang w:val="tr-TR"/>
        </w:rPr>
        <w:t xml:space="preserve"> müşteri odaklı iş yapış tarzını benimseyerek</w:t>
      </w:r>
      <w:r w:rsidRPr="00540996">
        <w:rPr>
          <w:rFonts w:ascii="Verdana" w:hAnsi="Verdana" w:cs="Arial"/>
          <w:sz w:val="20"/>
          <w:szCs w:val="20"/>
          <w:lang w:val="tr-TR"/>
        </w:rPr>
        <w:t xml:space="preserve"> </w:t>
      </w:r>
      <w:r w:rsidR="0011673B" w:rsidRPr="00540996">
        <w:rPr>
          <w:rFonts w:ascii="Verdana" w:hAnsi="Verdana" w:cs="Arial"/>
          <w:sz w:val="20"/>
          <w:szCs w:val="20"/>
          <w:lang w:val="tr-TR"/>
        </w:rPr>
        <w:t>gerçekleştireceğiz.</w:t>
      </w:r>
    </w:p>
    <w:p w:rsidR="0011673B" w:rsidRPr="00540996" w:rsidRDefault="0011673B" w:rsidP="0011673B">
      <w:pPr>
        <w:pStyle w:val="ListeParagraf"/>
        <w:rPr>
          <w:rFonts w:ascii="Verdana" w:hAnsi="Verdana" w:cs="Arial"/>
          <w:sz w:val="20"/>
          <w:szCs w:val="20"/>
          <w:lang w:val="tr-TR"/>
        </w:rPr>
      </w:pPr>
    </w:p>
    <w:p w:rsidR="002B3D27" w:rsidRPr="00540996" w:rsidRDefault="002A7FE5" w:rsidP="00734886">
      <w:pPr>
        <w:numPr>
          <w:ilvl w:val="0"/>
          <w:numId w:val="10"/>
        </w:numPr>
        <w:rPr>
          <w:rFonts w:ascii="Verdana" w:hAnsi="Verdana" w:cs="Arial"/>
          <w:sz w:val="20"/>
          <w:szCs w:val="20"/>
          <w:lang w:val="tr-TR"/>
        </w:rPr>
      </w:pPr>
      <w:r w:rsidRPr="00540996">
        <w:rPr>
          <w:rFonts w:ascii="Verdana" w:hAnsi="Verdana" w:cs="Arial"/>
          <w:sz w:val="20"/>
          <w:szCs w:val="20"/>
          <w:lang w:val="tr-TR"/>
        </w:rPr>
        <w:t xml:space="preserve">AvivaSA </w:t>
      </w:r>
      <w:r w:rsidR="002B3D27" w:rsidRPr="00540996">
        <w:rPr>
          <w:rFonts w:ascii="Verdana" w:hAnsi="Verdana" w:cs="Arial"/>
          <w:sz w:val="20"/>
          <w:szCs w:val="20"/>
          <w:lang w:val="tr-TR"/>
        </w:rPr>
        <w:t>gibi Aksigorta’nın</w:t>
      </w:r>
      <w:r w:rsidRPr="00540996">
        <w:rPr>
          <w:rFonts w:ascii="Verdana" w:hAnsi="Verdana" w:cs="Arial"/>
          <w:sz w:val="20"/>
          <w:szCs w:val="20"/>
          <w:lang w:val="tr-TR"/>
        </w:rPr>
        <w:t xml:space="preserve"> </w:t>
      </w:r>
      <w:r w:rsidR="002B3D27" w:rsidRPr="00540996">
        <w:rPr>
          <w:rFonts w:ascii="Verdana" w:hAnsi="Verdana" w:cs="Arial"/>
          <w:sz w:val="20"/>
          <w:szCs w:val="20"/>
          <w:lang w:val="tr-TR"/>
        </w:rPr>
        <w:t xml:space="preserve">da </w:t>
      </w:r>
      <w:r w:rsidR="00385DC0" w:rsidRPr="00540996">
        <w:rPr>
          <w:rFonts w:ascii="Verdana" w:hAnsi="Verdana" w:cs="Arial"/>
          <w:sz w:val="20"/>
          <w:szCs w:val="20"/>
          <w:lang w:val="tr-TR"/>
        </w:rPr>
        <w:t>alanında</w:t>
      </w:r>
      <w:r w:rsidR="002B3D27" w:rsidRPr="00540996">
        <w:rPr>
          <w:rFonts w:ascii="Verdana" w:hAnsi="Verdana" w:cs="Arial"/>
          <w:sz w:val="20"/>
          <w:szCs w:val="20"/>
          <w:lang w:val="tr-TR"/>
        </w:rPr>
        <w:t xml:space="preserve"> liderlik konumuna gelmesini hedefliyoruz.</w:t>
      </w:r>
      <w:r w:rsidR="00385DC0" w:rsidRPr="00540996">
        <w:rPr>
          <w:rFonts w:ascii="Verdana" w:hAnsi="Verdana" w:cs="Arial"/>
          <w:sz w:val="20"/>
          <w:szCs w:val="20"/>
          <w:lang w:val="tr-TR"/>
        </w:rPr>
        <w:t xml:space="preserve"> Bu konuda gerek organik gerek</w:t>
      </w:r>
      <w:r w:rsidR="002B3D27" w:rsidRPr="00540996">
        <w:rPr>
          <w:rFonts w:ascii="Verdana" w:hAnsi="Verdana" w:cs="Arial"/>
          <w:sz w:val="20"/>
          <w:szCs w:val="20"/>
          <w:lang w:val="tr-TR"/>
        </w:rPr>
        <w:t xml:space="preserve"> inorganik büyüme</w:t>
      </w:r>
      <w:r w:rsidR="00AC78B4" w:rsidRPr="00540996">
        <w:rPr>
          <w:rFonts w:ascii="Verdana" w:hAnsi="Verdana" w:cs="Arial"/>
          <w:sz w:val="20"/>
          <w:szCs w:val="20"/>
          <w:lang w:val="tr-TR"/>
        </w:rPr>
        <w:t xml:space="preserve"> </w:t>
      </w:r>
      <w:r w:rsidR="00A43AE7" w:rsidRPr="00540996">
        <w:rPr>
          <w:rFonts w:ascii="Verdana" w:hAnsi="Verdana" w:cs="Arial"/>
          <w:sz w:val="20"/>
          <w:szCs w:val="20"/>
          <w:lang w:val="tr-TR"/>
        </w:rPr>
        <w:t>imkânlarını</w:t>
      </w:r>
      <w:r w:rsidR="00AC78B4" w:rsidRPr="00540996">
        <w:rPr>
          <w:rFonts w:ascii="Verdana" w:hAnsi="Verdana" w:cs="Arial"/>
          <w:sz w:val="20"/>
          <w:szCs w:val="20"/>
          <w:lang w:val="tr-TR"/>
        </w:rPr>
        <w:t xml:space="preserve"> değerlendirebiliriz. </w:t>
      </w:r>
      <w:r w:rsidR="00A43AE7" w:rsidRPr="00540996">
        <w:rPr>
          <w:rFonts w:ascii="Verdana" w:hAnsi="Verdana" w:cs="Arial"/>
          <w:sz w:val="20"/>
          <w:szCs w:val="20"/>
          <w:lang w:val="tr-TR"/>
        </w:rPr>
        <w:t>Grubumuz</w:t>
      </w:r>
      <w:r w:rsidR="004814F4" w:rsidRPr="00540996">
        <w:rPr>
          <w:rFonts w:ascii="Verdana" w:hAnsi="Verdana" w:cs="Arial"/>
          <w:sz w:val="20"/>
          <w:szCs w:val="20"/>
          <w:lang w:val="tr-TR"/>
        </w:rPr>
        <w:t xml:space="preserve"> </w:t>
      </w:r>
      <w:r w:rsidR="00A43AE7" w:rsidRPr="00540996">
        <w:rPr>
          <w:rFonts w:ascii="Verdana" w:hAnsi="Verdana" w:cs="Arial"/>
          <w:sz w:val="20"/>
          <w:szCs w:val="20"/>
          <w:lang w:val="tr-TR"/>
        </w:rPr>
        <w:t>nezdinde</w:t>
      </w:r>
      <w:r w:rsidR="004814F4" w:rsidRPr="00540996">
        <w:rPr>
          <w:rFonts w:ascii="Verdana" w:hAnsi="Verdana" w:cs="Arial"/>
          <w:sz w:val="20"/>
          <w:szCs w:val="20"/>
          <w:lang w:val="tr-TR"/>
        </w:rPr>
        <w:t xml:space="preserve"> stratejik ortaklıklar amaç değil, sür</w:t>
      </w:r>
      <w:r w:rsidR="00A43AE7" w:rsidRPr="00540996">
        <w:rPr>
          <w:rFonts w:ascii="Verdana" w:hAnsi="Verdana" w:cs="Arial"/>
          <w:sz w:val="20"/>
          <w:szCs w:val="20"/>
          <w:lang w:val="tr-TR"/>
        </w:rPr>
        <w:t>dürülebilir büyüme hedeflerimizde</w:t>
      </w:r>
      <w:r w:rsidR="004814F4" w:rsidRPr="00540996">
        <w:rPr>
          <w:rFonts w:ascii="Verdana" w:hAnsi="Verdana" w:cs="Arial"/>
          <w:sz w:val="20"/>
          <w:szCs w:val="20"/>
          <w:lang w:val="tr-TR"/>
        </w:rPr>
        <w:t xml:space="preserve"> araç</w:t>
      </w:r>
      <w:r w:rsidR="00A43AE7" w:rsidRPr="00540996">
        <w:rPr>
          <w:rFonts w:ascii="Verdana" w:hAnsi="Verdana" w:cs="Arial"/>
          <w:sz w:val="20"/>
          <w:szCs w:val="20"/>
          <w:lang w:val="tr-TR"/>
        </w:rPr>
        <w:t xml:space="preserve">tır. </w:t>
      </w:r>
      <w:r w:rsidR="004814F4" w:rsidRPr="00540996">
        <w:rPr>
          <w:rFonts w:ascii="Verdana" w:hAnsi="Verdana" w:cs="Arial"/>
          <w:sz w:val="20"/>
          <w:szCs w:val="20"/>
          <w:lang w:val="tr-TR"/>
        </w:rPr>
        <w:t xml:space="preserve"> </w:t>
      </w:r>
    </w:p>
    <w:p w:rsidR="00DE0C61" w:rsidRPr="004204DC" w:rsidRDefault="00DE0C61" w:rsidP="00DE0C61">
      <w:pPr>
        <w:pStyle w:val="ListeParagraf"/>
        <w:rPr>
          <w:rFonts w:ascii="Verdana" w:hAnsi="Verdana" w:cs="Arial"/>
          <w:sz w:val="20"/>
          <w:szCs w:val="20"/>
          <w:lang w:val="tr-TR"/>
        </w:rPr>
      </w:pPr>
    </w:p>
    <w:p w:rsidR="00DE0C61" w:rsidRPr="00B91A68" w:rsidRDefault="00DE0C61" w:rsidP="007333A6">
      <w:pPr>
        <w:pStyle w:val="ListeParagraf1"/>
        <w:ind w:left="0"/>
        <w:jc w:val="both"/>
        <w:rPr>
          <w:rFonts w:ascii="Verdana" w:eastAsia="Times New Roman" w:hAnsi="Verdana" w:cs="Arial"/>
          <w:sz w:val="20"/>
          <w:szCs w:val="20"/>
        </w:rPr>
      </w:pPr>
    </w:p>
    <w:p w:rsidR="00B16200" w:rsidRPr="00DC6DE6" w:rsidRDefault="00B16200" w:rsidP="00B91A68">
      <w:pPr>
        <w:pStyle w:val="ListeParagraf1"/>
        <w:ind w:left="0"/>
        <w:jc w:val="both"/>
        <w:rPr>
          <w:rFonts w:ascii="Verdana" w:eastAsia="Times New Roman" w:hAnsi="Verdana" w:cs="Arial"/>
          <w:sz w:val="20"/>
          <w:szCs w:val="20"/>
        </w:rPr>
      </w:pPr>
    </w:p>
    <w:sectPr w:rsidR="00B16200" w:rsidRPr="00DC6DE6" w:rsidSect="00DD22EB">
      <w:headerReference w:type="default" r:id="rId20"/>
      <w:footerReference w:type="even" r:id="rId21"/>
      <w:footerReference w:type="default" r:id="rId22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248" w:rsidRDefault="00C40248">
      <w:r>
        <w:separator/>
      </w:r>
    </w:p>
  </w:endnote>
  <w:endnote w:type="continuationSeparator" w:id="1">
    <w:p w:rsidR="00C40248" w:rsidRDefault="00C40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E9B" w:rsidRDefault="00D67151" w:rsidP="004843C8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856E9B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56E9B" w:rsidRDefault="00856E9B" w:rsidP="002E2979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E9B" w:rsidRDefault="00D67151" w:rsidP="004843C8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856E9B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72D88">
      <w:rPr>
        <w:rStyle w:val="SayfaNumaras"/>
        <w:noProof/>
      </w:rPr>
      <w:t>10</w:t>
    </w:r>
    <w:r>
      <w:rPr>
        <w:rStyle w:val="SayfaNumaras"/>
      </w:rPr>
      <w:fldChar w:fldCharType="end"/>
    </w:r>
  </w:p>
  <w:p w:rsidR="00856E9B" w:rsidRDefault="00856E9B" w:rsidP="002E2979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248" w:rsidRDefault="00C40248">
      <w:r>
        <w:separator/>
      </w:r>
    </w:p>
  </w:footnote>
  <w:footnote w:type="continuationSeparator" w:id="1">
    <w:p w:rsidR="00C40248" w:rsidRDefault="00C402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E9B" w:rsidRDefault="00856E9B">
    <w:pPr>
      <w:pStyle w:val="stbilgi"/>
      <w:rPr>
        <w:sz w:val="28"/>
        <w:szCs w:val="28"/>
      </w:rPr>
    </w:pPr>
  </w:p>
  <w:p w:rsidR="00856E9B" w:rsidRDefault="0044650E">
    <w:pPr>
      <w:pStyle w:val="stbilgi"/>
      <w:rPr>
        <w:sz w:val="28"/>
        <w:szCs w:val="28"/>
      </w:rPr>
    </w:pPr>
    <w:r>
      <w:rPr>
        <w:noProof/>
        <w:sz w:val="28"/>
        <w:szCs w:val="28"/>
        <w:lang w:val="tr-TR"/>
      </w:rPr>
      <w:drawing>
        <wp:inline distT="0" distB="0" distL="0" distR="0">
          <wp:extent cx="1433195" cy="457200"/>
          <wp:effectExtent l="19050" t="0" r="0" b="0"/>
          <wp:docPr id="13" name="Picture 13" descr="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19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56E9B" w:rsidRDefault="00856E9B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4721"/>
    <w:multiLevelType w:val="hybridMultilevel"/>
    <w:tmpl w:val="CBD2C93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2107DD"/>
    <w:multiLevelType w:val="hybridMultilevel"/>
    <w:tmpl w:val="AB3CC708"/>
    <w:lvl w:ilvl="0" w:tplc="6E68EB6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80"/>
        <w:sz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EF570AA"/>
    <w:multiLevelType w:val="hybridMultilevel"/>
    <w:tmpl w:val="2196F19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8761A4"/>
    <w:multiLevelType w:val="hybridMultilevel"/>
    <w:tmpl w:val="52306B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7780D"/>
    <w:multiLevelType w:val="hybridMultilevel"/>
    <w:tmpl w:val="C1C6412C"/>
    <w:lvl w:ilvl="0" w:tplc="6E68EB66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  <w:color w:val="000080"/>
        <w:sz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5">
    <w:nsid w:val="35400FBC"/>
    <w:multiLevelType w:val="hybridMultilevel"/>
    <w:tmpl w:val="38B24EA8"/>
    <w:lvl w:ilvl="0" w:tplc="6394B0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  <w:sz w:val="24"/>
        <w:szCs w:val="24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80"/>
        <w:sz w:val="36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9C71B8"/>
    <w:multiLevelType w:val="hybridMultilevel"/>
    <w:tmpl w:val="4CDAB7CE"/>
    <w:lvl w:ilvl="0" w:tplc="041F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>
    <w:nsid w:val="61320ADC"/>
    <w:multiLevelType w:val="hybridMultilevel"/>
    <w:tmpl w:val="ACCE0D36"/>
    <w:lvl w:ilvl="0" w:tplc="6E68EB6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000080"/>
        <w:sz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59C6734"/>
    <w:multiLevelType w:val="hybridMultilevel"/>
    <w:tmpl w:val="1D08FE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EA41B0A">
      <w:numFmt w:val="bullet"/>
      <w:lvlText w:val="•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6E5213C"/>
    <w:multiLevelType w:val="hybridMultilevel"/>
    <w:tmpl w:val="64C67E6A"/>
    <w:lvl w:ilvl="0" w:tplc="041F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0">
    <w:nsid w:val="670C16E8"/>
    <w:multiLevelType w:val="hybridMultilevel"/>
    <w:tmpl w:val="C14E6DB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7E747B2"/>
    <w:multiLevelType w:val="hybridMultilevel"/>
    <w:tmpl w:val="769A7196"/>
    <w:lvl w:ilvl="0" w:tplc="134CB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CCF9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987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DC0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54B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DA1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78D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6AB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FA9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54C3999"/>
    <w:multiLevelType w:val="hybridMultilevel"/>
    <w:tmpl w:val="CBD0A4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3F6B49"/>
    <w:multiLevelType w:val="hybridMultilevel"/>
    <w:tmpl w:val="DA2A1D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815F8A"/>
    <w:multiLevelType w:val="hybridMultilevel"/>
    <w:tmpl w:val="EC8A2EFA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11"/>
  </w:num>
  <w:num w:numId="6">
    <w:abstractNumId w:val="0"/>
  </w:num>
  <w:num w:numId="7">
    <w:abstractNumId w:val="13"/>
  </w:num>
  <w:num w:numId="8">
    <w:abstractNumId w:val="6"/>
  </w:num>
  <w:num w:numId="9">
    <w:abstractNumId w:val="9"/>
  </w:num>
  <w:num w:numId="10">
    <w:abstractNumId w:val="10"/>
  </w:num>
  <w:num w:numId="11">
    <w:abstractNumId w:val="8"/>
  </w:num>
  <w:num w:numId="12">
    <w:abstractNumId w:val="14"/>
  </w:num>
  <w:num w:numId="13">
    <w:abstractNumId w:val="12"/>
  </w:num>
  <w:num w:numId="14">
    <w:abstractNumId w:val="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E42"/>
    <w:rsid w:val="00003DFD"/>
    <w:rsid w:val="000210E4"/>
    <w:rsid w:val="0003585C"/>
    <w:rsid w:val="00036D56"/>
    <w:rsid w:val="0005078C"/>
    <w:rsid w:val="000629CE"/>
    <w:rsid w:val="0006365C"/>
    <w:rsid w:val="000663F7"/>
    <w:rsid w:val="00072F4F"/>
    <w:rsid w:val="00073FA1"/>
    <w:rsid w:val="0008650E"/>
    <w:rsid w:val="00090537"/>
    <w:rsid w:val="00090F1E"/>
    <w:rsid w:val="00091DD1"/>
    <w:rsid w:val="000B5C24"/>
    <w:rsid w:val="000B6F67"/>
    <w:rsid w:val="000C3890"/>
    <w:rsid w:val="000C3E4F"/>
    <w:rsid w:val="000D282A"/>
    <w:rsid w:val="000D4333"/>
    <w:rsid w:val="000F213A"/>
    <w:rsid w:val="001047B4"/>
    <w:rsid w:val="00112AB9"/>
    <w:rsid w:val="0011499D"/>
    <w:rsid w:val="00114B9F"/>
    <w:rsid w:val="0011673B"/>
    <w:rsid w:val="0013219E"/>
    <w:rsid w:val="00137137"/>
    <w:rsid w:val="00146DA1"/>
    <w:rsid w:val="00150452"/>
    <w:rsid w:val="00164153"/>
    <w:rsid w:val="0017433A"/>
    <w:rsid w:val="00187A97"/>
    <w:rsid w:val="0019162A"/>
    <w:rsid w:val="00197453"/>
    <w:rsid w:val="00197E68"/>
    <w:rsid w:val="001A0F1B"/>
    <w:rsid w:val="001A45F1"/>
    <w:rsid w:val="001B360D"/>
    <w:rsid w:val="001B4944"/>
    <w:rsid w:val="001C1967"/>
    <w:rsid w:val="001D3040"/>
    <w:rsid w:val="001F4C52"/>
    <w:rsid w:val="002000AD"/>
    <w:rsid w:val="00201AED"/>
    <w:rsid w:val="0020267E"/>
    <w:rsid w:val="00212EB9"/>
    <w:rsid w:val="00214ABA"/>
    <w:rsid w:val="0021720D"/>
    <w:rsid w:val="00252278"/>
    <w:rsid w:val="002536D9"/>
    <w:rsid w:val="00260E7B"/>
    <w:rsid w:val="002627EF"/>
    <w:rsid w:val="00284055"/>
    <w:rsid w:val="00297896"/>
    <w:rsid w:val="002A102C"/>
    <w:rsid w:val="002A1760"/>
    <w:rsid w:val="002A5334"/>
    <w:rsid w:val="002A6320"/>
    <w:rsid w:val="002A6D9B"/>
    <w:rsid w:val="002A7FE5"/>
    <w:rsid w:val="002B3D27"/>
    <w:rsid w:val="002B5C66"/>
    <w:rsid w:val="002C29B7"/>
    <w:rsid w:val="002C3839"/>
    <w:rsid w:val="002C3F66"/>
    <w:rsid w:val="002D17C4"/>
    <w:rsid w:val="002E1027"/>
    <w:rsid w:val="002E2979"/>
    <w:rsid w:val="002E508E"/>
    <w:rsid w:val="002F22AC"/>
    <w:rsid w:val="00304B12"/>
    <w:rsid w:val="00316A8F"/>
    <w:rsid w:val="00361F13"/>
    <w:rsid w:val="003701BA"/>
    <w:rsid w:val="003764F0"/>
    <w:rsid w:val="00385DC0"/>
    <w:rsid w:val="0039111D"/>
    <w:rsid w:val="00392BA9"/>
    <w:rsid w:val="003B02E0"/>
    <w:rsid w:val="003B2E86"/>
    <w:rsid w:val="003B33A2"/>
    <w:rsid w:val="003B5FD8"/>
    <w:rsid w:val="003B6797"/>
    <w:rsid w:val="003B7DB5"/>
    <w:rsid w:val="003C542B"/>
    <w:rsid w:val="003D2CB1"/>
    <w:rsid w:val="003D4672"/>
    <w:rsid w:val="003D4E29"/>
    <w:rsid w:val="003E6301"/>
    <w:rsid w:val="00403D96"/>
    <w:rsid w:val="004204DC"/>
    <w:rsid w:val="004248DC"/>
    <w:rsid w:val="00433569"/>
    <w:rsid w:val="00435E2E"/>
    <w:rsid w:val="00436A3F"/>
    <w:rsid w:val="0044650E"/>
    <w:rsid w:val="00447B90"/>
    <w:rsid w:val="00467D1B"/>
    <w:rsid w:val="004710D3"/>
    <w:rsid w:val="004814F4"/>
    <w:rsid w:val="004843C8"/>
    <w:rsid w:val="00490DBB"/>
    <w:rsid w:val="004972D3"/>
    <w:rsid w:val="004A0647"/>
    <w:rsid w:val="004A17AF"/>
    <w:rsid w:val="004A1B42"/>
    <w:rsid w:val="004D04ED"/>
    <w:rsid w:val="004D0866"/>
    <w:rsid w:val="004D1C02"/>
    <w:rsid w:val="004F1E9A"/>
    <w:rsid w:val="005042C7"/>
    <w:rsid w:val="00515335"/>
    <w:rsid w:val="005228F7"/>
    <w:rsid w:val="00530E3A"/>
    <w:rsid w:val="00534DCE"/>
    <w:rsid w:val="00540996"/>
    <w:rsid w:val="00540A8F"/>
    <w:rsid w:val="0054563C"/>
    <w:rsid w:val="00547529"/>
    <w:rsid w:val="00560513"/>
    <w:rsid w:val="00593E53"/>
    <w:rsid w:val="005A2EBB"/>
    <w:rsid w:val="005A69D2"/>
    <w:rsid w:val="005B03BD"/>
    <w:rsid w:val="005B2D6D"/>
    <w:rsid w:val="005D2D20"/>
    <w:rsid w:val="005D5D89"/>
    <w:rsid w:val="005E0D99"/>
    <w:rsid w:val="005F4C3F"/>
    <w:rsid w:val="0060366E"/>
    <w:rsid w:val="00605A52"/>
    <w:rsid w:val="0060701D"/>
    <w:rsid w:val="00613C3C"/>
    <w:rsid w:val="00625EED"/>
    <w:rsid w:val="006522F8"/>
    <w:rsid w:val="00661730"/>
    <w:rsid w:val="00676F08"/>
    <w:rsid w:val="006867A5"/>
    <w:rsid w:val="00692A13"/>
    <w:rsid w:val="00693D9C"/>
    <w:rsid w:val="006A04F4"/>
    <w:rsid w:val="006A18DB"/>
    <w:rsid w:val="006C2277"/>
    <w:rsid w:val="006C3D9E"/>
    <w:rsid w:val="006D077D"/>
    <w:rsid w:val="006D4307"/>
    <w:rsid w:val="006D7B32"/>
    <w:rsid w:val="006E2120"/>
    <w:rsid w:val="006E46CA"/>
    <w:rsid w:val="007155BE"/>
    <w:rsid w:val="00720B25"/>
    <w:rsid w:val="00724B02"/>
    <w:rsid w:val="007306B3"/>
    <w:rsid w:val="00733098"/>
    <w:rsid w:val="007333A6"/>
    <w:rsid w:val="00734886"/>
    <w:rsid w:val="00737218"/>
    <w:rsid w:val="00742E42"/>
    <w:rsid w:val="007729CB"/>
    <w:rsid w:val="00776D16"/>
    <w:rsid w:val="00776E28"/>
    <w:rsid w:val="00796047"/>
    <w:rsid w:val="007A60FB"/>
    <w:rsid w:val="007B37A3"/>
    <w:rsid w:val="007B6E92"/>
    <w:rsid w:val="007C30B9"/>
    <w:rsid w:val="007C4557"/>
    <w:rsid w:val="007E2C3F"/>
    <w:rsid w:val="007E7EB5"/>
    <w:rsid w:val="007F3F22"/>
    <w:rsid w:val="007F58B2"/>
    <w:rsid w:val="007F7DCA"/>
    <w:rsid w:val="00806378"/>
    <w:rsid w:val="00825F01"/>
    <w:rsid w:val="0082796D"/>
    <w:rsid w:val="00831CC3"/>
    <w:rsid w:val="008333A3"/>
    <w:rsid w:val="00841670"/>
    <w:rsid w:val="00850C0B"/>
    <w:rsid w:val="0085270E"/>
    <w:rsid w:val="00854A80"/>
    <w:rsid w:val="00856E9B"/>
    <w:rsid w:val="00873A83"/>
    <w:rsid w:val="00880429"/>
    <w:rsid w:val="00890645"/>
    <w:rsid w:val="00896D33"/>
    <w:rsid w:val="008A65F7"/>
    <w:rsid w:val="008B1B9E"/>
    <w:rsid w:val="008B4FFA"/>
    <w:rsid w:val="008B7CC3"/>
    <w:rsid w:val="008C51C3"/>
    <w:rsid w:val="008D0C75"/>
    <w:rsid w:val="008D5E7B"/>
    <w:rsid w:val="008D5F0B"/>
    <w:rsid w:val="008E1ABA"/>
    <w:rsid w:val="00904125"/>
    <w:rsid w:val="00904A75"/>
    <w:rsid w:val="0090646A"/>
    <w:rsid w:val="0091553D"/>
    <w:rsid w:val="00932135"/>
    <w:rsid w:val="00935D4E"/>
    <w:rsid w:val="00942FBD"/>
    <w:rsid w:val="009607CD"/>
    <w:rsid w:val="00964BC0"/>
    <w:rsid w:val="00967FF4"/>
    <w:rsid w:val="00974189"/>
    <w:rsid w:val="009822A8"/>
    <w:rsid w:val="00982812"/>
    <w:rsid w:val="009A4CF0"/>
    <w:rsid w:val="009B1503"/>
    <w:rsid w:val="009B4BE3"/>
    <w:rsid w:val="009B4E5E"/>
    <w:rsid w:val="009B77BD"/>
    <w:rsid w:val="009E6986"/>
    <w:rsid w:val="00A01D77"/>
    <w:rsid w:val="00A11F38"/>
    <w:rsid w:val="00A176A9"/>
    <w:rsid w:val="00A35019"/>
    <w:rsid w:val="00A361D4"/>
    <w:rsid w:val="00A41B70"/>
    <w:rsid w:val="00A42239"/>
    <w:rsid w:val="00A43AE7"/>
    <w:rsid w:val="00A45743"/>
    <w:rsid w:val="00A51707"/>
    <w:rsid w:val="00A62163"/>
    <w:rsid w:val="00A7327A"/>
    <w:rsid w:val="00A74476"/>
    <w:rsid w:val="00A77555"/>
    <w:rsid w:val="00A81ACF"/>
    <w:rsid w:val="00A81F81"/>
    <w:rsid w:val="00A83591"/>
    <w:rsid w:val="00A835B8"/>
    <w:rsid w:val="00AB6F2E"/>
    <w:rsid w:val="00AC1F34"/>
    <w:rsid w:val="00AC3D8D"/>
    <w:rsid w:val="00AC78B4"/>
    <w:rsid w:val="00AD5549"/>
    <w:rsid w:val="00AE38D6"/>
    <w:rsid w:val="00AF36EF"/>
    <w:rsid w:val="00B005F1"/>
    <w:rsid w:val="00B03798"/>
    <w:rsid w:val="00B05507"/>
    <w:rsid w:val="00B16200"/>
    <w:rsid w:val="00B31A25"/>
    <w:rsid w:val="00B3723A"/>
    <w:rsid w:val="00B37C97"/>
    <w:rsid w:val="00B40A1C"/>
    <w:rsid w:val="00B41D6D"/>
    <w:rsid w:val="00B50642"/>
    <w:rsid w:val="00B61369"/>
    <w:rsid w:val="00B618A2"/>
    <w:rsid w:val="00B61D62"/>
    <w:rsid w:val="00B654B3"/>
    <w:rsid w:val="00B72ECA"/>
    <w:rsid w:val="00B81FC3"/>
    <w:rsid w:val="00B85AF1"/>
    <w:rsid w:val="00B870AF"/>
    <w:rsid w:val="00B91A68"/>
    <w:rsid w:val="00B923B9"/>
    <w:rsid w:val="00BA6492"/>
    <w:rsid w:val="00BB51EA"/>
    <w:rsid w:val="00BC7404"/>
    <w:rsid w:val="00BD6D69"/>
    <w:rsid w:val="00BD767F"/>
    <w:rsid w:val="00BE6165"/>
    <w:rsid w:val="00BF07EA"/>
    <w:rsid w:val="00BF1951"/>
    <w:rsid w:val="00C03E54"/>
    <w:rsid w:val="00C26A70"/>
    <w:rsid w:val="00C31CC2"/>
    <w:rsid w:val="00C338AD"/>
    <w:rsid w:val="00C40248"/>
    <w:rsid w:val="00C4102C"/>
    <w:rsid w:val="00C41FAC"/>
    <w:rsid w:val="00C44140"/>
    <w:rsid w:val="00C51DA3"/>
    <w:rsid w:val="00C647DA"/>
    <w:rsid w:val="00C663A4"/>
    <w:rsid w:val="00C7005D"/>
    <w:rsid w:val="00C72D88"/>
    <w:rsid w:val="00C75682"/>
    <w:rsid w:val="00C875FC"/>
    <w:rsid w:val="00CB1569"/>
    <w:rsid w:val="00CB730C"/>
    <w:rsid w:val="00CC32E5"/>
    <w:rsid w:val="00CC4C09"/>
    <w:rsid w:val="00CC7719"/>
    <w:rsid w:val="00CD2264"/>
    <w:rsid w:val="00CF2C6A"/>
    <w:rsid w:val="00D306E7"/>
    <w:rsid w:val="00D368BA"/>
    <w:rsid w:val="00D50039"/>
    <w:rsid w:val="00D53447"/>
    <w:rsid w:val="00D62508"/>
    <w:rsid w:val="00D67151"/>
    <w:rsid w:val="00D70E1C"/>
    <w:rsid w:val="00D716E2"/>
    <w:rsid w:val="00D740FC"/>
    <w:rsid w:val="00D948E6"/>
    <w:rsid w:val="00D94AB0"/>
    <w:rsid w:val="00DA278E"/>
    <w:rsid w:val="00DA5249"/>
    <w:rsid w:val="00DA7C4B"/>
    <w:rsid w:val="00DB038C"/>
    <w:rsid w:val="00DB2201"/>
    <w:rsid w:val="00DB310B"/>
    <w:rsid w:val="00DB72B0"/>
    <w:rsid w:val="00DC19E2"/>
    <w:rsid w:val="00DC1B3C"/>
    <w:rsid w:val="00DC335E"/>
    <w:rsid w:val="00DC6DE6"/>
    <w:rsid w:val="00DD22EB"/>
    <w:rsid w:val="00DE0C61"/>
    <w:rsid w:val="00DF0721"/>
    <w:rsid w:val="00E047AD"/>
    <w:rsid w:val="00E127FC"/>
    <w:rsid w:val="00E32B75"/>
    <w:rsid w:val="00E457A5"/>
    <w:rsid w:val="00E53C85"/>
    <w:rsid w:val="00E636F7"/>
    <w:rsid w:val="00EA2E04"/>
    <w:rsid w:val="00EB3688"/>
    <w:rsid w:val="00EB3EB4"/>
    <w:rsid w:val="00EC2A50"/>
    <w:rsid w:val="00EC7F35"/>
    <w:rsid w:val="00ED6157"/>
    <w:rsid w:val="00F01F8D"/>
    <w:rsid w:val="00F021E0"/>
    <w:rsid w:val="00F14378"/>
    <w:rsid w:val="00F1675D"/>
    <w:rsid w:val="00F171C6"/>
    <w:rsid w:val="00F21C59"/>
    <w:rsid w:val="00F223B9"/>
    <w:rsid w:val="00F27169"/>
    <w:rsid w:val="00F3210A"/>
    <w:rsid w:val="00F4428F"/>
    <w:rsid w:val="00F458C6"/>
    <w:rsid w:val="00F56CF9"/>
    <w:rsid w:val="00F57219"/>
    <w:rsid w:val="00F62AA9"/>
    <w:rsid w:val="00F71464"/>
    <w:rsid w:val="00F95EFC"/>
    <w:rsid w:val="00FA7564"/>
    <w:rsid w:val="00FB1E52"/>
    <w:rsid w:val="00FB331B"/>
    <w:rsid w:val="00FB5AB3"/>
    <w:rsid w:val="00FC121E"/>
    <w:rsid w:val="00FD64DF"/>
    <w:rsid w:val="00FD7564"/>
    <w:rsid w:val="00FE0484"/>
    <w:rsid w:val="00FF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60FB"/>
    <w:rPr>
      <w:sz w:val="24"/>
      <w:szCs w:val="24"/>
      <w:lang w:val="en-GB" w:eastAsia="tr-TR"/>
    </w:rPr>
  </w:style>
  <w:style w:type="paragraph" w:styleId="Balk1">
    <w:name w:val="heading 1"/>
    <w:basedOn w:val="Normal"/>
    <w:next w:val="Normal"/>
    <w:qFormat/>
    <w:rsid w:val="007A60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BB51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948E6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semiHidden/>
    <w:rsid w:val="00D948E6"/>
    <w:rPr>
      <w:vertAlign w:val="superscript"/>
    </w:rPr>
  </w:style>
  <w:style w:type="paragraph" w:styleId="stbilgi">
    <w:name w:val="header"/>
    <w:basedOn w:val="Normal"/>
    <w:rsid w:val="00D948E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D948E6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E2979"/>
  </w:style>
  <w:style w:type="paragraph" w:customStyle="1" w:styleId="ListeParagraf1">
    <w:name w:val="Liste Paragraf1"/>
    <w:basedOn w:val="Normal"/>
    <w:uiPriority w:val="34"/>
    <w:qFormat/>
    <w:rsid w:val="00FB5AB3"/>
    <w:pPr>
      <w:ind w:left="720"/>
    </w:pPr>
    <w:rPr>
      <w:rFonts w:ascii="Calibri" w:eastAsia="Calibri" w:hAnsi="Calibri"/>
      <w:sz w:val="22"/>
      <w:szCs w:val="22"/>
      <w:lang w:val="tr-TR"/>
    </w:rPr>
  </w:style>
  <w:style w:type="paragraph" w:styleId="ListeParagraf">
    <w:name w:val="List Paragraph"/>
    <w:basedOn w:val="Normal"/>
    <w:uiPriority w:val="34"/>
    <w:qFormat/>
    <w:rsid w:val="009822A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8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oleObject" Target="embeddings/Microsoft_Office_Excel_97-2003__al__ma_Sayfas_1.xls"/><Relationship Id="rId14" Type="http://schemas.openxmlformats.org/officeDocument/2006/relationships/image" Target="media/image6.jpe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64656-12D1-4511-AFE4-C5B41C0F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2246</Words>
  <Characters>12808</Characters>
  <Application>Microsoft Office Word</Application>
  <DocSecurity>0</DocSecurity>
  <Lines>106</Lines>
  <Paragraphs>30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</vt:lpstr>
    </vt:vector>
  </TitlesOfParts>
  <Company/>
  <LinksUpToDate>false</LinksUpToDate>
  <CharactersWithSpaces>15024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GSABOY</dc:creator>
  <cp:keywords/>
  <dc:description/>
  <cp:lastModifiedBy>aucuncu</cp:lastModifiedBy>
  <cp:revision>3</cp:revision>
  <cp:lastPrinted>2010-01-12T09:37:00Z</cp:lastPrinted>
  <dcterms:created xsi:type="dcterms:W3CDTF">2010-09-29T06:11:00Z</dcterms:created>
  <dcterms:modified xsi:type="dcterms:W3CDTF">2010-09-29T06:17:00Z</dcterms:modified>
</cp:coreProperties>
</file>